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0"/>
        <w:jc w:val="center"/>
        <w:rPr>
          <w:rFonts w:ascii="Calibri" w:hAnsi="Calibri"/>
          <w:sz w:val="22"/>
          <w:szCs w:val="22"/>
        </w:rPr>
      </w:pPr>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r>
        <w:rPr>
          <w:rFonts w:cs="Arial"/>
          <w:color w:val="000000"/>
          <w:sz w:val="22"/>
          <w:szCs w:val="22"/>
        </w:rPr>
        <w:br/>
      </w:r>
      <w:r>
        <w:rPr>
          <w:rFonts w:cs="Arial"/>
          <w:b/>
          <w:bCs/>
          <w:color w:val="000000"/>
          <w:sz w:val="22"/>
          <w:szCs w:val="22"/>
        </w:rPr>
        <w:t>TERMO DE REFERÊNCIA – LEI 14.133/21</w:t>
      </w:r>
    </w:p>
    <w:p>
      <w:pPr>
        <w:pStyle w:val="Normal"/>
        <w:spacing w:lineRule="auto" w:line="276" w:before="0" w:after="0"/>
        <w:jc w:val="center"/>
        <w:rPr>
          <w:rFonts w:ascii="Calibri" w:hAnsi="Calibri"/>
          <w:sz w:val="22"/>
          <w:szCs w:val="22"/>
        </w:rPr>
      </w:pPr>
      <w:r>
        <w:rPr>
          <w:rFonts w:cs="Arial"/>
          <w:b/>
          <w:bCs/>
          <w:iCs/>
          <w:color w:val="000000"/>
          <w:sz w:val="22"/>
          <w:szCs w:val="22"/>
        </w:rPr>
        <w:t>COMPRAS – CONTRATAÇÃO DIRETA</w:t>
      </w:r>
    </w:p>
    <w:p>
      <w:pPr>
        <w:pStyle w:val="Normal"/>
        <w:spacing w:lineRule="auto" w:line="276" w:before="0" w:after="0"/>
        <w:jc w:val="center"/>
        <w:rPr>
          <w:rFonts w:ascii="Calibri" w:hAnsi="Calibri"/>
          <w:sz w:val="22"/>
          <w:szCs w:val="22"/>
        </w:rPr>
      </w:pPr>
      <w:r>
        <w:rPr>
          <w:rFonts w:cs="Arial"/>
          <w:b/>
          <w:bCs/>
          <w:iCs/>
          <w:color w:val="000000"/>
          <w:sz w:val="22"/>
          <w:szCs w:val="22"/>
        </w:rPr>
        <w:t>Processo Administrativo n° 63116.00</w:t>
      </w:r>
      <w:r>
        <w:rPr>
          <w:rFonts w:cs="Arial"/>
          <w:b/>
          <w:bCs/>
          <w:iCs/>
          <w:color w:val="000000"/>
          <w:sz w:val="22"/>
          <w:szCs w:val="22"/>
        </w:rPr>
        <w:t>1256/2024-32</w:t>
      </w:r>
    </w:p>
    <w:p>
      <w:pPr>
        <w:pStyle w:val="Normal"/>
        <w:spacing w:lineRule="auto" w:line="276" w:before="0" w:after="0"/>
        <w:jc w:val="center"/>
        <w:rPr>
          <w:rFonts w:ascii="Calibri" w:hAnsi="Calibri"/>
          <w:sz w:val="22"/>
          <w:szCs w:val="22"/>
        </w:rPr>
      </w:pPr>
      <w:r>
        <w:rPr>
          <w:sz w:val="22"/>
          <w:szCs w:val="22"/>
        </w:rPr>
      </w:r>
    </w:p>
    <w:p>
      <w:pPr>
        <w:pStyle w:val="Nivel1"/>
        <w:numPr>
          <w:ilvl w:val="0"/>
          <w:numId w:val="1"/>
        </w:numPr>
        <w:spacing w:before="0" w:after="0"/>
        <w:rPr>
          <w:rFonts w:ascii="Calibri" w:hAnsi="Calibri"/>
          <w:sz w:val="22"/>
          <w:szCs w:val="22"/>
        </w:rPr>
      </w:pPr>
      <w:r>
        <w:rPr>
          <w:rFonts w:ascii="Calibri" w:hAnsi="Calibri"/>
          <w:bCs/>
          <w:sz w:val="22"/>
          <w:szCs w:val="22"/>
        </w:rPr>
        <w:t>DAS CONDIÇÕES GERAIS DA CONTRATAÇÃO (art. 6º, XXIII, “a” e “i”</w:t>
      </w:r>
      <w:r>
        <w:rPr>
          <w:rFonts w:ascii="Calibri" w:hAnsi="Calibri"/>
          <w:sz w:val="22"/>
          <w:szCs w:val="22"/>
        </w:rPr>
        <w:t xml:space="preserve"> da Lei n. 14.133/2021).</w:t>
      </w:r>
    </w:p>
    <w:p>
      <w:pPr>
        <w:pStyle w:val="ListParagraph"/>
        <w:spacing w:lineRule="auto" w:line="276" w:before="0" w:after="0"/>
        <w:ind w:left="716" w:hanging="0"/>
        <w:contextualSpacing/>
        <w:jc w:val="both"/>
        <w:rPr>
          <w:rFonts w:ascii="Calibri" w:hAnsi="Calibri" w:cs="Arial"/>
          <w:b/>
          <w:b/>
          <w:iCs/>
          <w:sz w:val="22"/>
          <w:szCs w:val="22"/>
        </w:rPr>
      </w:pPr>
      <w:r>
        <w:rPr>
          <w:rFonts w:cs="Arial"/>
          <w:b/>
          <w:iCs/>
          <w:sz w:val="22"/>
          <w:szCs w:val="22"/>
        </w:rPr>
      </w:r>
    </w:p>
    <w:p>
      <w:pPr>
        <w:pStyle w:val="ListParagraph"/>
        <w:widowControl/>
        <w:numPr>
          <w:ilvl w:val="0"/>
          <w:numId w:val="0"/>
        </w:numPr>
        <w:suppressAutoHyphens w:val="true"/>
        <w:bidi w:val="0"/>
        <w:spacing w:lineRule="auto" w:line="276" w:before="0" w:after="0"/>
        <w:ind w:left="-22" w:right="0" w:hanging="0"/>
        <w:contextualSpacing/>
        <w:jc w:val="both"/>
        <w:rPr>
          <w:rFonts w:ascii="Calibri" w:hAnsi="Calibri"/>
          <w:sz w:val="22"/>
          <w:szCs w:val="22"/>
        </w:rPr>
      </w:pPr>
      <w:r>
        <w:rPr>
          <w:rFonts w:cs="Times New Roman"/>
          <w:iCs/>
          <w:color w:val="000000"/>
          <w:sz w:val="22"/>
          <w:szCs w:val="22"/>
        </w:rPr>
        <w:t xml:space="preserve">1.1. Aquisição de alimentos de agricultores familiares, suas organizações, empreendedores familiares rurais e demais beneficiários que se enquadrem na Lei n° </w:t>
      </w:r>
      <w:r>
        <w:rPr>
          <w:rFonts w:cs="Times New Roman"/>
          <w:iCs/>
          <w:color w:val="000000"/>
          <w:sz w:val="22"/>
          <w:szCs w:val="22"/>
        </w:rPr>
        <w:t>14.628</w:t>
      </w:r>
      <w:r>
        <w:rPr>
          <w:rFonts w:cs="Times New Roman"/>
          <w:iCs/>
          <w:color w:val="000000"/>
          <w:sz w:val="22"/>
          <w:szCs w:val="22"/>
        </w:rPr>
        <w:t>/20</w:t>
      </w:r>
      <w:r>
        <w:rPr>
          <w:rFonts w:cs="Times New Roman"/>
          <w:iCs/>
          <w:color w:val="000000"/>
          <w:sz w:val="22"/>
          <w:szCs w:val="22"/>
        </w:rPr>
        <w:t>23</w:t>
      </w:r>
      <w:r>
        <w:rPr>
          <w:rFonts w:cs="Times New Roman"/>
          <w:iCs/>
          <w:color w:val="000000"/>
          <w:sz w:val="22"/>
          <w:szCs w:val="22"/>
        </w:rPr>
        <w:t xml:space="preserve"> e que tenham a Declaração de Aptidão ao Pronaf-DAP, por meio de Chamada Pública na modalidade de Compra Institucional do Programa de Aquisição de Alimentos, conforme condições, quantidades e exigências estabelecidas neste instrumento.</w:t>
      </w:r>
    </w:p>
    <w:p>
      <w:pPr>
        <w:pStyle w:val="ListParagraph"/>
        <w:widowControl/>
        <w:numPr>
          <w:ilvl w:val="0"/>
          <w:numId w:val="0"/>
        </w:numPr>
        <w:suppressAutoHyphens w:val="true"/>
        <w:bidi w:val="0"/>
        <w:spacing w:lineRule="auto" w:line="276" w:before="0" w:after="0"/>
        <w:ind w:left="-22" w:right="0" w:hanging="0"/>
        <w:contextualSpacing/>
        <w:jc w:val="both"/>
        <w:rPr>
          <w:rFonts w:ascii="Calibri" w:hAnsi="Calibri"/>
          <w:iCs w:val="false"/>
          <w:sz w:val="22"/>
          <w:szCs w:val="22"/>
        </w:rPr>
      </w:pPr>
      <w:r>
        <w:rPr>
          <w:rFonts w:cs="Times New Roman"/>
          <w:i w:val="false"/>
          <w:iCs w:val="false"/>
          <w:color w:val="000000"/>
          <w:sz w:val="22"/>
          <w:szCs w:val="22"/>
        </w:rPr>
        <w:t>1.2. Q</w:t>
      </w:r>
      <w:r>
        <w:rPr>
          <w:rFonts w:cs="Times New Roman"/>
          <w:b w:val="false"/>
          <w:bCs w:val="false"/>
          <w:i w:val="false"/>
          <w:iCs w:val="false"/>
          <w:color w:val="auto"/>
          <w:sz w:val="22"/>
          <w:szCs w:val="22"/>
          <w:lang w:val="pt-BR" w:bidi="ar-SA"/>
        </w:rPr>
        <w:t>uantidades e exigências estabelecidas no Apêndice I do Termo de Referência em anexo.</w:t>
      </w:r>
    </w:p>
    <w:p>
      <w:pPr>
        <w:pStyle w:val="ListParagraph"/>
        <w:widowControl/>
        <w:numPr>
          <w:ilvl w:val="0"/>
          <w:numId w:val="0"/>
        </w:numPr>
        <w:suppressAutoHyphens w:val="true"/>
        <w:bidi w:val="0"/>
        <w:spacing w:lineRule="auto" w:line="276" w:before="0" w:after="0"/>
        <w:ind w:left="0" w:right="0" w:hanging="0"/>
        <w:contextualSpacing/>
        <w:jc w:val="both"/>
        <w:rPr>
          <w:rFonts w:ascii="Calibri" w:hAnsi="Calibri"/>
          <w:i w:val="false"/>
          <w:i w:val="false"/>
          <w:iCs w:val="false"/>
          <w:sz w:val="22"/>
          <w:szCs w:val="22"/>
        </w:rPr>
      </w:pPr>
      <w:r>
        <w:rPr>
          <w:rFonts w:cs="Arial"/>
          <w:i w:val="false"/>
          <w:iCs w:val="false"/>
          <w:sz w:val="22"/>
          <w:szCs w:val="22"/>
        </w:rPr>
        <w:t>1.3. O objeto desta contratação não se enquadra como sendo de bem de luxo, conforme Decreto nº 10.818, de 2021.</w:t>
      </w:r>
    </w:p>
    <w:p>
      <w:pPr>
        <w:pStyle w:val="ListParagraph"/>
        <w:widowControl/>
        <w:numPr>
          <w:ilvl w:val="0"/>
          <w:numId w:val="0"/>
        </w:numPr>
        <w:suppressAutoHyphens w:val="true"/>
        <w:bidi w:val="0"/>
        <w:spacing w:lineRule="auto" w:line="276" w:before="0" w:after="0"/>
        <w:ind w:left="0" w:right="0" w:hanging="0"/>
        <w:contextualSpacing/>
        <w:jc w:val="both"/>
        <w:rPr>
          <w:rFonts w:ascii="Calibri" w:hAnsi="Calibri"/>
          <w:i w:val="false"/>
          <w:i w:val="false"/>
          <w:iCs w:val="false"/>
          <w:sz w:val="22"/>
          <w:szCs w:val="22"/>
        </w:rPr>
      </w:pPr>
      <w:r>
        <w:rPr>
          <w:rFonts w:cs="Arial"/>
          <w:bCs/>
          <w:i w:val="false"/>
          <w:iCs w:val="false"/>
          <w:color w:val="FF0000"/>
          <w:sz w:val="22"/>
          <w:szCs w:val="22"/>
        </w:rPr>
        <w:t xml:space="preserve"> </w:t>
      </w:r>
      <w:r>
        <w:rPr>
          <w:rFonts w:cs="Arial"/>
          <w:bCs/>
          <w:i w:val="false"/>
          <w:iCs w:val="false"/>
          <w:color w:val="auto"/>
          <w:sz w:val="22"/>
          <w:szCs w:val="22"/>
        </w:rPr>
        <w:t>1.4. O prazo de vigência da contratação é de 12 (doze) meses, contados da data de Homologação do referido Termo, na forma do artigo 105 da Lei n° 14.133/2021.</w:t>
      </w:r>
    </w:p>
    <w:p>
      <w:pPr>
        <w:pStyle w:val="ListParagraph"/>
        <w:widowControl/>
        <w:numPr>
          <w:ilvl w:val="0"/>
          <w:numId w:val="0"/>
        </w:numPr>
        <w:suppressAutoHyphens w:val="true"/>
        <w:bidi w:val="0"/>
        <w:spacing w:lineRule="auto" w:line="276" w:before="0" w:after="0"/>
        <w:ind w:left="0" w:right="0" w:hanging="0"/>
        <w:contextualSpacing/>
        <w:jc w:val="both"/>
        <w:rPr/>
      </w:pPr>
      <w:r>
        <w:rPr>
          <w:rFonts w:cs="Arial"/>
          <w:i w:val="false"/>
          <w:iCs w:val="false"/>
          <w:color w:val="auto"/>
          <w:sz w:val="22"/>
          <w:szCs w:val="22"/>
        </w:rPr>
        <w:t xml:space="preserve"> </w:t>
      </w:r>
      <w:r>
        <w:rPr>
          <w:rFonts w:cs="Arial"/>
          <w:i w:val="false"/>
          <w:iCs w:val="false"/>
          <w:color w:val="auto"/>
          <w:sz w:val="22"/>
          <w:szCs w:val="22"/>
        </w:rPr>
        <w:t xml:space="preserve">1.5. O custo estimado total da contratação é de R$ </w:t>
      </w:r>
      <w:r>
        <w:rPr>
          <w:rStyle w:val="Fontepargpadro"/>
          <w:rFonts w:eastAsia="TimesNewRomanPSMT" w:cs="TimesNewRomanPSMT"/>
          <w:b w:val="false"/>
          <w:bCs w:val="false"/>
          <w:i w:val="false"/>
          <w:iCs w:val="false"/>
          <w:strike w:val="false"/>
          <w:dstrike w:val="false"/>
          <w:color w:val="auto"/>
          <w:sz w:val="22"/>
          <w:szCs w:val="22"/>
          <w:u w:val="none"/>
          <w:lang w:val="pt-BR"/>
        </w:rPr>
        <w:t xml:space="preserve">R$ </w:t>
      </w:r>
      <w:r>
        <w:rPr>
          <w:rStyle w:val="Fontepargpadro"/>
          <w:rFonts w:eastAsia="TimesNewRomanPSMT" w:cs="TimesNewRomanPSMT"/>
          <w:b w:val="false"/>
          <w:bCs w:val="false"/>
          <w:i w:val="false"/>
          <w:iCs w:val="false"/>
          <w:strike w:val="false"/>
          <w:dstrike w:val="false"/>
          <w:color w:val="auto"/>
          <w:sz w:val="22"/>
          <w:szCs w:val="22"/>
          <w:u w:val="none"/>
          <w:lang w:val="pt-BR"/>
        </w:rPr>
        <w:t>4.812.145,00</w:t>
      </w:r>
      <w:r>
        <w:rPr>
          <w:rStyle w:val="Fontepargpadro"/>
          <w:rFonts w:eastAsia="TimesNewRomanPSMT" w:cs="TimesNewRomanPSMT"/>
          <w:b w:val="false"/>
          <w:bCs w:val="false"/>
          <w:i w:val="false"/>
          <w:iCs w:val="false"/>
          <w:strike w:val="false"/>
          <w:dstrike w:val="false"/>
          <w:color w:val="auto"/>
          <w:sz w:val="22"/>
          <w:szCs w:val="22"/>
          <w:u w:val="none"/>
          <w:lang w:val="pt-BR"/>
        </w:rPr>
        <w:t xml:space="preserve"> (</w:t>
      </w:r>
      <w:r>
        <w:rPr>
          <w:rStyle w:val="Fontepargpadro"/>
          <w:rFonts w:eastAsia="TimesNewRomanPSMT" w:cs="TimesNewRomanPSMT"/>
          <w:b w:val="false"/>
          <w:bCs w:val="false"/>
          <w:i w:val="false"/>
          <w:iCs w:val="false"/>
          <w:strike w:val="false"/>
          <w:dstrike w:val="false"/>
          <w:color w:val="auto"/>
          <w:sz w:val="22"/>
          <w:szCs w:val="22"/>
          <w:u w:val="none"/>
          <w:lang w:val="pt-BR"/>
        </w:rPr>
        <w:t>quatro milhões, oitocentos e doze mil, cento e quarenta e cinco reais</w:t>
      </w:r>
      <w:r>
        <w:rPr>
          <w:rStyle w:val="Fontepargpadro"/>
          <w:rFonts w:eastAsia="TimesNewRomanPSMT" w:cs="TimesNewRomanPSMT"/>
          <w:b w:val="false"/>
          <w:bCs w:val="false"/>
          <w:i w:val="false"/>
          <w:iCs w:val="false"/>
          <w:strike w:val="false"/>
          <w:dstrike w:val="false"/>
          <w:color w:val="auto"/>
          <w:sz w:val="22"/>
          <w:szCs w:val="22"/>
          <w:u w:val="none"/>
          <w:lang w:val="pt-BR"/>
        </w:rPr>
        <w:t>),</w:t>
      </w:r>
      <w:r>
        <w:rPr>
          <w:rFonts w:cs="Arial"/>
          <w:i w:val="false"/>
          <w:iCs w:val="false"/>
          <w:color w:val="auto"/>
          <w:sz w:val="22"/>
          <w:szCs w:val="22"/>
        </w:rPr>
        <w:t xml:space="preserve"> conforme custos unitários apostos no Apêndice I em anexo.</w:t>
      </w:r>
    </w:p>
    <w:p>
      <w:pPr>
        <w:pStyle w:val="Normal"/>
        <w:spacing w:lineRule="auto" w:line="276" w:before="0" w:after="0"/>
        <w:jc w:val="both"/>
        <w:rPr>
          <w:rFonts w:ascii="Calibri" w:hAnsi="Calibri"/>
          <w:i/>
          <w:i/>
          <w:iCs/>
          <w:sz w:val="22"/>
          <w:szCs w:val="22"/>
        </w:rPr>
      </w:pPr>
      <w:r>
        <w:rPr>
          <w:i/>
          <w:iCs/>
          <w:sz w:val="22"/>
          <w:szCs w:val="22"/>
        </w:rPr>
      </w:r>
    </w:p>
    <w:p>
      <w:pPr>
        <w:pStyle w:val="Nivel1"/>
        <w:numPr>
          <w:ilvl w:val="0"/>
          <w:numId w:val="1"/>
        </w:numPr>
        <w:spacing w:before="0" w:after="0"/>
        <w:rPr>
          <w:rFonts w:ascii="Calibri" w:hAnsi="Calibri"/>
          <w:sz w:val="22"/>
          <w:szCs w:val="22"/>
        </w:rPr>
      </w:pPr>
      <w:r>
        <w:rPr>
          <w:rFonts w:ascii="Calibri" w:hAnsi="Calibri"/>
          <w:bCs/>
          <w:sz w:val="22"/>
          <w:szCs w:val="22"/>
        </w:rPr>
        <w:t xml:space="preserve">FUNDAMENTAÇÃO E DESCRIÇÃO DA NECESSIDADE DA CONTRATAÇÃO (art. 6º, inciso XXIII, alínea ‘b’, da Lei nº 14.133/2021). </w:t>
      </w:r>
    </w:p>
    <w:p>
      <w:pPr>
        <w:pStyle w:val="Normal"/>
        <w:numPr>
          <w:ilvl w:val="0"/>
          <w:numId w:val="0"/>
        </w:numPr>
        <w:spacing w:before="0" w:after="0"/>
        <w:ind w:left="360" w:hanging="0"/>
        <w:rPr>
          <w:rFonts w:ascii="Calibri" w:hAnsi="Calibri"/>
          <w:bCs/>
          <w:sz w:val="22"/>
          <w:szCs w:val="22"/>
        </w:rPr>
      </w:pPr>
      <w:r>
        <w:rPr>
          <w:bCs/>
          <w:sz w:val="22"/>
          <w:szCs w:val="22"/>
        </w:rPr>
      </w:r>
    </w:p>
    <w:p>
      <w:pPr>
        <w:pStyle w:val="ListParagraph"/>
        <w:numPr>
          <w:ilvl w:val="0"/>
          <w:numId w:val="0"/>
        </w:numPr>
        <w:spacing w:lineRule="auto" w:line="276" w:before="0" w:after="0"/>
        <w:ind w:left="0" w:hanging="0"/>
        <w:contextualSpacing/>
        <w:jc w:val="both"/>
        <w:rPr>
          <w:rFonts w:ascii="Calibri" w:hAnsi="Calibri"/>
          <w:sz w:val="22"/>
          <w:szCs w:val="22"/>
        </w:rPr>
      </w:pPr>
      <w:r>
        <w:rPr>
          <w:rFonts w:cs="Times New Roman"/>
          <w:color w:val="000000"/>
          <w:sz w:val="22"/>
          <w:szCs w:val="22"/>
        </w:rPr>
        <w:t>A aquisição dos alimentos elencados na tabela no Apêndice I, atenderá às necessidades da Escola de Aprendizes-Marinheiros do Ceará</w:t>
      </w:r>
      <w:r>
        <w:rPr>
          <w:rFonts w:cs="Times New Roman"/>
          <w:color w:val="000000"/>
          <w:sz w:val="22"/>
          <w:szCs w:val="22"/>
          <w:lang w:eastAsia="ar-SA"/>
        </w:rPr>
        <w:t xml:space="preserve"> (EAMCE) e Organizações Militares apoiadas provendo alimentação diária permanente aos militares e civis lotados nesta Escola e nas OM’s apoiadas oriunda da classificação desta como uma Organização Militar com rancho próprio organizado.</w:t>
      </w:r>
      <w:r>
        <w:rPr>
          <w:rFonts w:cs="Times New Roman"/>
          <w:color w:val="FF0000"/>
          <w:sz w:val="22"/>
          <w:szCs w:val="22"/>
          <w:lang w:eastAsia="ar-SA"/>
        </w:rPr>
        <w:t xml:space="preserve"> </w:t>
      </w:r>
      <w:r>
        <w:rPr>
          <w:rFonts w:cs="Times New Roman"/>
          <w:sz w:val="22"/>
          <w:szCs w:val="22"/>
        </w:rPr>
        <w:t xml:space="preserve">Aliado a isso, o Decreto n° </w:t>
      </w:r>
      <w:r>
        <w:rPr>
          <w:rFonts w:cs="Times New Roman"/>
          <w:sz w:val="22"/>
          <w:szCs w:val="22"/>
        </w:rPr>
        <w:t>11.476/2023</w:t>
      </w:r>
      <w:r>
        <w:rPr>
          <w:rFonts w:cs="Times New Roman"/>
          <w:sz w:val="22"/>
          <w:szCs w:val="22"/>
        </w:rPr>
        <w:t xml:space="preserve"> estabeleceu que a Administração Pública Federal, no tocante à aquisição de gêneros alimentícios, deverá utilizar o percentual mínimo de 30% do total dos recursos destinados no exercício financeiro na aquisição de produtos oriundos de agricultores familiares e equiparados.</w:t>
      </w:r>
    </w:p>
    <w:p>
      <w:pPr>
        <w:pStyle w:val="ListParagraph"/>
        <w:spacing w:lineRule="auto" w:line="276" w:before="0" w:after="0"/>
        <w:contextualSpacing/>
        <w:jc w:val="both"/>
        <w:rPr>
          <w:rFonts w:ascii="Calibri" w:hAnsi="Calibri" w:cs="Arial"/>
          <w:sz w:val="22"/>
          <w:szCs w:val="22"/>
        </w:rPr>
      </w:pPr>
      <w:r>
        <w:rPr>
          <w:rFonts w:cs="Arial"/>
          <w:sz w:val="22"/>
          <w:szCs w:val="22"/>
        </w:rPr>
      </w:r>
    </w:p>
    <w:p>
      <w:pPr>
        <w:pStyle w:val="ListParagraph"/>
        <w:spacing w:lineRule="auto" w:line="276" w:before="0" w:after="0"/>
        <w:contextualSpacing/>
        <w:jc w:val="both"/>
        <w:rPr>
          <w:rFonts w:ascii="Calibri" w:hAnsi="Calibri" w:cs="Arial"/>
          <w:sz w:val="22"/>
          <w:szCs w:val="22"/>
        </w:rPr>
      </w:pPr>
      <w:r>
        <w:rPr>
          <w:rFonts w:cs="Arial"/>
          <w:sz w:val="22"/>
          <w:szCs w:val="22"/>
        </w:rPr>
      </w:r>
    </w:p>
    <w:p>
      <w:pPr>
        <w:pStyle w:val="Nivel1"/>
        <w:numPr>
          <w:ilvl w:val="0"/>
          <w:numId w:val="1"/>
        </w:numPr>
        <w:spacing w:before="0" w:after="0"/>
        <w:rPr>
          <w:rFonts w:ascii="Calibri" w:hAnsi="Calibri"/>
          <w:sz w:val="22"/>
          <w:szCs w:val="22"/>
        </w:rPr>
      </w:pPr>
      <w:r>
        <w:rPr>
          <w:rFonts w:ascii="Calibri" w:hAnsi="Calibri"/>
          <w:bCs/>
          <w:sz w:val="22"/>
          <w:szCs w:val="22"/>
        </w:rPr>
        <w:t>DESCRIÇÃO DA SOLUÇÃO COMO UM TODO CONSIDERADO O CICLO DE VIDA DO OBJETO E ESPECIFICAÇÃO DO PRODUTO (art. 6º, inciso XXIII, alínea ‘c’, e art. 40, §1º, inciso I, da Lei nº 14.133/2021)</w:t>
      </w:r>
    </w:p>
    <w:p>
      <w:pPr>
        <w:pStyle w:val="ListParagraph"/>
        <w:widowControl/>
        <w:numPr>
          <w:ilvl w:val="0"/>
          <w:numId w:val="0"/>
        </w:numPr>
        <w:suppressAutoHyphens w:val="true"/>
        <w:bidi w:val="0"/>
        <w:spacing w:lineRule="auto" w:line="276" w:before="0" w:after="0"/>
        <w:ind w:left="0" w:right="0" w:hanging="0"/>
        <w:contextualSpacing/>
        <w:jc w:val="both"/>
        <w:rPr>
          <w:rFonts w:ascii="Calibri" w:hAnsi="Calibri"/>
          <w:sz w:val="22"/>
          <w:szCs w:val="22"/>
        </w:rPr>
      </w:pPr>
      <w:r>
        <w:rPr>
          <w:rFonts w:cs="Arial"/>
          <w:i w:val="false"/>
          <w:iCs w:val="false"/>
          <w:color w:val="auto"/>
          <w:sz w:val="22"/>
          <w:szCs w:val="22"/>
        </w:rPr>
        <w:t>A descrição da solução como um todo, encontra-se pormenorizada em tópico específico dos Estudos Técnicos Preliminares, apêndice deste Termo de Referência.</w:t>
      </w:r>
    </w:p>
    <w:p>
      <w:pPr>
        <w:pStyle w:val="ListParagraph"/>
        <w:spacing w:lineRule="auto" w:line="276" w:before="0" w:after="0"/>
        <w:contextualSpacing/>
        <w:jc w:val="both"/>
        <w:rPr>
          <w:rFonts w:ascii="Calibri" w:hAnsi="Calibri" w:cs="Arial"/>
          <w:i w:val="false"/>
          <w:i w:val="false"/>
          <w:iCs w:val="false"/>
          <w:color w:val="auto"/>
          <w:sz w:val="22"/>
          <w:szCs w:val="22"/>
        </w:rPr>
      </w:pPr>
      <w:r>
        <w:rPr>
          <w:rFonts w:cs="Arial"/>
          <w:i w:val="false"/>
          <w:iCs w:val="false"/>
          <w:color w:val="auto"/>
          <w:sz w:val="22"/>
          <w:szCs w:val="22"/>
        </w:rPr>
      </w:r>
    </w:p>
    <w:p>
      <w:pPr>
        <w:pStyle w:val="Nivel1"/>
        <w:numPr>
          <w:ilvl w:val="0"/>
          <w:numId w:val="1"/>
        </w:numPr>
        <w:spacing w:before="0" w:after="0"/>
        <w:rPr>
          <w:rFonts w:ascii="Calibri" w:hAnsi="Calibri"/>
          <w:sz w:val="22"/>
          <w:szCs w:val="22"/>
        </w:rPr>
      </w:pPr>
      <w:r>
        <w:rPr>
          <w:rFonts w:ascii="Calibri" w:hAnsi="Calibri"/>
          <w:bCs/>
          <w:sz w:val="22"/>
          <w:szCs w:val="22"/>
        </w:rPr>
        <w:t>REQUISITOS DA CONTRATAÇÃO (art. 6º, XXIII, alínea ‘d’, da Lei nº 14.133/21</w:t>
      </w:r>
      <w:r>
        <w:rPr>
          <w:rFonts w:ascii="Calibri" w:hAnsi="Calibri"/>
          <w:bCs/>
          <w:sz w:val="22"/>
          <w:szCs w:val="22"/>
        </w:rPr>
        <w:t>)</w:t>
      </w:r>
    </w:p>
    <w:p>
      <w:pPr>
        <w:pStyle w:val="Normal"/>
        <w:rPr>
          <w:rFonts w:ascii="Calibri" w:hAnsi="Calibri" w:cs="Arial"/>
          <w:i/>
          <w:i/>
          <w:iCs/>
          <w:sz w:val="22"/>
          <w:szCs w:val="22"/>
        </w:rPr>
      </w:pPr>
      <w:r>
        <w:rPr>
          <w:rFonts w:cs="Arial"/>
          <w:i/>
          <w:iCs/>
          <w:sz w:val="22"/>
          <w:szCs w:val="22"/>
        </w:rPr>
      </w:r>
    </w:p>
    <w:p>
      <w:pPr>
        <w:pStyle w:val="ListParagraph"/>
        <w:widowControl/>
        <w:numPr>
          <w:ilvl w:val="0"/>
          <w:numId w:val="0"/>
        </w:numPr>
        <w:suppressAutoHyphens w:val="true"/>
        <w:bidi w:val="0"/>
        <w:spacing w:lineRule="auto" w:line="276" w:before="0" w:after="0"/>
        <w:ind w:left="0" w:right="0" w:hanging="0"/>
        <w:contextualSpacing/>
        <w:jc w:val="both"/>
        <w:rPr>
          <w:rFonts w:ascii="Calibri" w:hAnsi="Calibri"/>
          <w:sz w:val="22"/>
          <w:szCs w:val="22"/>
        </w:rPr>
      </w:pPr>
      <w:r>
        <w:rPr>
          <w:rFonts w:cs="Arial"/>
          <w:sz w:val="22"/>
          <w:szCs w:val="22"/>
        </w:rPr>
        <w:t>4.1 A contratação deverá observar os seguintes requisitos:</w:t>
      </w:r>
    </w:p>
    <w:p>
      <w:pPr>
        <w:pStyle w:val="ListParagraph"/>
        <w:widowControl/>
        <w:numPr>
          <w:ilvl w:val="0"/>
          <w:numId w:val="0"/>
        </w:numPr>
        <w:suppressAutoHyphens w:val="true"/>
        <w:bidi w:val="0"/>
        <w:spacing w:lineRule="auto" w:line="276" w:before="0" w:after="0"/>
        <w:ind w:left="0" w:right="0" w:hanging="0"/>
        <w:contextualSpacing/>
        <w:jc w:val="both"/>
        <w:rPr>
          <w:rFonts w:ascii="Calibri" w:hAnsi="Calibri"/>
          <w:sz w:val="22"/>
          <w:szCs w:val="22"/>
        </w:rPr>
      </w:pPr>
      <w:r>
        <w:rPr>
          <w:rFonts w:cs="Arial"/>
          <w:i w:val="false"/>
          <w:iCs w:val="false"/>
          <w:color w:val="auto"/>
          <w:sz w:val="22"/>
          <w:szCs w:val="22"/>
        </w:rPr>
        <w:t>4.1.1 Sustentabilidade:</w:t>
      </w:r>
    </w:p>
    <w:p>
      <w:pPr>
        <w:pStyle w:val="ListParagraph"/>
        <w:numPr>
          <w:ilvl w:val="0"/>
          <w:numId w:val="0"/>
        </w:numPr>
        <w:shd w:val="clear" w:color="auto" w:fill="FFFFFF"/>
        <w:spacing w:lineRule="auto" w:line="276" w:before="0" w:after="0"/>
        <w:ind w:left="3211" w:hanging="0"/>
        <w:contextualSpacing/>
        <w:jc w:val="both"/>
        <w:rPr>
          <w:rFonts w:ascii="Calibri" w:hAnsi="Calibri"/>
          <w:sz w:val="22"/>
          <w:szCs w:val="22"/>
        </w:rPr>
      </w:pPr>
      <w:r>
        <w:rPr>
          <w:rFonts w:cs="Arial"/>
          <w:i w:val="false"/>
          <w:iCs w:val="false"/>
          <w:color w:val="auto"/>
          <w:sz w:val="22"/>
          <w:szCs w:val="22"/>
        </w:rPr>
        <w:t>Além dos critérios de sustentabilidade eventualmente inseridos na descrição do objeto, devem ser atendidos os seguintes requisitos, que se baseiam no Guia Nacional de Contratações Sustentáveis:</w:t>
      </w:r>
    </w:p>
    <w:p>
      <w:pPr>
        <w:pStyle w:val="ListParagraph"/>
        <w:numPr>
          <w:ilvl w:val="0"/>
          <w:numId w:val="0"/>
        </w:numPr>
        <w:shd w:val="clear" w:color="auto" w:fill="FFFFFF"/>
        <w:spacing w:lineRule="auto" w:line="276" w:before="0" w:after="0"/>
        <w:ind w:left="4275" w:hanging="0"/>
        <w:contextualSpacing/>
        <w:jc w:val="both"/>
        <w:rPr>
          <w:rFonts w:ascii="Calibri" w:hAnsi="Calibri"/>
          <w:sz w:val="22"/>
          <w:szCs w:val="22"/>
        </w:rPr>
      </w:pPr>
      <w:r>
        <w:rPr>
          <w:rFonts w:cs="Arial"/>
          <w:i w:val="false"/>
          <w:iCs w:val="false"/>
          <w:color w:val="auto"/>
          <w:sz w:val="22"/>
          <w:szCs w:val="22"/>
        </w:rPr>
        <w:t>I - bens constituídos, no todo ou em parte, por material reciclado, atóxico, biodegradável, conforme ABNT NBR – 15448-1 e 15448-2;</w:t>
      </w:r>
    </w:p>
    <w:p>
      <w:pPr>
        <w:pStyle w:val="ListParagraph"/>
        <w:numPr>
          <w:ilvl w:val="0"/>
          <w:numId w:val="0"/>
        </w:numPr>
        <w:shd w:val="clear" w:color="auto" w:fill="FFFFFF"/>
        <w:spacing w:lineRule="auto" w:line="276" w:before="0" w:after="0"/>
        <w:ind w:left="4275" w:hanging="0"/>
        <w:contextualSpacing/>
        <w:jc w:val="both"/>
        <w:rPr>
          <w:rFonts w:ascii="Calibri" w:hAnsi="Calibri"/>
          <w:sz w:val="22"/>
          <w:szCs w:val="22"/>
        </w:rPr>
      </w:pPr>
      <w:r>
        <w:rPr>
          <w:rFonts w:cs="Arial"/>
          <w:i w:val="false"/>
          <w:iCs w:val="false"/>
          <w:color w:val="auto"/>
          <w:sz w:val="22"/>
          <w:szCs w:val="22"/>
        </w:rPr>
        <w:t>II – que sejam observados os requisitos ambientais para a obtenção de certificação do instituto nacional de metrologia, normalização e qualidade industrial – INMETRO como produtos sustentáveis ou de menor impacto ambiental em relação aos seus similares;</w:t>
      </w:r>
    </w:p>
    <w:p>
      <w:pPr>
        <w:pStyle w:val="ListParagraph"/>
        <w:numPr>
          <w:ilvl w:val="0"/>
          <w:numId w:val="0"/>
        </w:numPr>
        <w:shd w:val="clear" w:color="auto" w:fill="FFFFFF"/>
        <w:spacing w:lineRule="auto" w:line="276" w:before="0" w:after="0"/>
        <w:ind w:left="4275" w:hanging="0"/>
        <w:contextualSpacing/>
        <w:jc w:val="both"/>
        <w:rPr>
          <w:rFonts w:ascii="Calibri" w:hAnsi="Calibri"/>
          <w:sz w:val="22"/>
          <w:szCs w:val="22"/>
        </w:rPr>
      </w:pPr>
      <w:r>
        <w:rPr>
          <w:rFonts w:cs="Arial"/>
          <w:i w:val="false"/>
          <w:iCs w:val="false"/>
          <w:color w:val="auto"/>
          <w:sz w:val="22"/>
          <w:szCs w:val="22"/>
        </w:rPr>
        <w:t>III – que os bens devam ser, preferencialmente, acondicionados em</w:t>
      </w:r>
    </w:p>
    <w:p>
      <w:pPr>
        <w:pStyle w:val="ListParagraph"/>
        <w:numPr>
          <w:ilvl w:val="0"/>
          <w:numId w:val="0"/>
        </w:numPr>
        <w:shd w:val="clear" w:color="auto" w:fill="FFFFFF"/>
        <w:spacing w:lineRule="auto" w:line="276" w:before="0" w:after="0"/>
        <w:ind w:left="4275" w:hanging="0"/>
        <w:contextualSpacing/>
        <w:jc w:val="both"/>
        <w:rPr>
          <w:rFonts w:ascii="Calibri" w:hAnsi="Calibri"/>
          <w:sz w:val="22"/>
          <w:szCs w:val="22"/>
        </w:rPr>
      </w:pPr>
      <w:r>
        <w:rPr>
          <w:rFonts w:cs="Arial"/>
          <w:i w:val="false"/>
          <w:iCs w:val="false"/>
          <w:color w:val="auto"/>
          <w:sz w:val="22"/>
          <w:szCs w:val="22"/>
        </w:rPr>
        <w:t>embalagem individual adequada, com o menor volume possível, que</w:t>
      </w:r>
    </w:p>
    <w:p>
      <w:pPr>
        <w:pStyle w:val="ListParagraph"/>
        <w:numPr>
          <w:ilvl w:val="0"/>
          <w:numId w:val="0"/>
        </w:numPr>
        <w:shd w:val="clear" w:color="auto" w:fill="FFFFFF"/>
        <w:spacing w:lineRule="auto" w:line="276" w:before="0" w:after="0"/>
        <w:ind w:left="4275" w:hanging="0"/>
        <w:contextualSpacing/>
        <w:jc w:val="both"/>
        <w:rPr>
          <w:rFonts w:ascii="Calibri" w:hAnsi="Calibri"/>
          <w:sz w:val="22"/>
          <w:szCs w:val="22"/>
        </w:rPr>
      </w:pPr>
      <w:r>
        <w:rPr>
          <w:rFonts w:cs="Arial"/>
          <w:i w:val="false"/>
          <w:iCs w:val="false"/>
          <w:color w:val="auto"/>
          <w:sz w:val="22"/>
          <w:szCs w:val="22"/>
        </w:rPr>
        <w:t>utilize materiais recicláveis, de forma a garantir a máxima proteção</w:t>
      </w:r>
    </w:p>
    <w:p>
      <w:pPr>
        <w:pStyle w:val="ListParagraph"/>
        <w:numPr>
          <w:ilvl w:val="0"/>
          <w:numId w:val="0"/>
        </w:numPr>
        <w:shd w:val="clear" w:color="auto" w:fill="FFFFFF"/>
        <w:spacing w:lineRule="auto" w:line="276" w:before="0" w:after="0"/>
        <w:ind w:left="4275" w:hanging="0"/>
        <w:contextualSpacing/>
        <w:jc w:val="both"/>
        <w:rPr>
          <w:rFonts w:ascii="Calibri" w:hAnsi="Calibri"/>
          <w:sz w:val="22"/>
          <w:szCs w:val="22"/>
        </w:rPr>
      </w:pPr>
      <w:r>
        <w:rPr>
          <w:rFonts w:cs="Arial"/>
          <w:i w:val="false"/>
          <w:iCs w:val="false"/>
          <w:color w:val="auto"/>
          <w:sz w:val="22"/>
          <w:szCs w:val="22"/>
        </w:rPr>
        <w:t>durante o transporte e o armazenamento; e</w:t>
      </w:r>
    </w:p>
    <w:p>
      <w:pPr>
        <w:pStyle w:val="ListParagraph"/>
        <w:numPr>
          <w:ilvl w:val="0"/>
          <w:numId w:val="0"/>
        </w:numPr>
        <w:shd w:val="clear" w:color="auto" w:fill="FFFFFF"/>
        <w:spacing w:lineRule="auto" w:line="276" w:before="0" w:after="0"/>
        <w:ind w:left="4275" w:hanging="0"/>
        <w:contextualSpacing/>
        <w:jc w:val="both"/>
        <w:rPr>
          <w:rFonts w:ascii="Calibri" w:hAnsi="Calibri"/>
          <w:sz w:val="22"/>
          <w:szCs w:val="22"/>
        </w:rPr>
      </w:pPr>
      <w:r>
        <w:rPr>
          <w:rFonts w:cs="Arial"/>
          <w:i w:val="false"/>
          <w:iCs w:val="false"/>
          <w:color w:val="auto"/>
          <w:sz w:val="22"/>
          <w:szCs w:val="22"/>
        </w:rPr>
        <w:t>IV – que os bens não contenham substâncias perigosas em concentração acima da recomendada na diretiva RoHS (Restriction of Certain Hazardous Substances), tais como mercúrio (Hg), chumbo (Pb), cromo hexavalente (Cr(VI)), cádmio (Cd), bifenil-polibromados (PBBs), éteres difenil-polibromados (PBDEs). [...]</w:t>
      </w:r>
    </w:p>
    <w:p>
      <w:pPr>
        <w:pStyle w:val="ListParagraph"/>
        <w:numPr>
          <w:ilvl w:val="0"/>
          <w:numId w:val="0"/>
        </w:numPr>
        <w:spacing w:lineRule="auto" w:line="276" w:before="0" w:after="0"/>
        <w:ind w:left="1650" w:hanging="0"/>
        <w:contextualSpacing/>
        <w:jc w:val="both"/>
        <w:rPr>
          <w:rFonts w:ascii="Calibri" w:hAnsi="Calibri" w:cs="Arial"/>
          <w:i w:val="false"/>
          <w:i w:val="false"/>
          <w:iCs w:val="false"/>
          <w:color w:val="auto"/>
          <w:sz w:val="22"/>
          <w:szCs w:val="22"/>
        </w:rPr>
      </w:pPr>
      <w:r>
        <w:rPr>
          <w:rFonts w:cs="Arial"/>
          <w:i w:val="false"/>
          <w:iCs w:val="false"/>
          <w:color w:val="auto"/>
          <w:sz w:val="22"/>
          <w:szCs w:val="22"/>
        </w:rPr>
      </w:r>
    </w:p>
    <w:p>
      <w:pPr>
        <w:pStyle w:val="ListParagraph"/>
        <w:numPr>
          <w:ilvl w:val="0"/>
          <w:numId w:val="0"/>
        </w:numPr>
        <w:spacing w:lineRule="auto" w:line="276" w:before="0" w:after="0"/>
        <w:ind w:left="1650" w:hanging="0"/>
        <w:contextualSpacing/>
        <w:jc w:val="both"/>
        <w:rPr>
          <w:rFonts w:ascii="Calibri" w:hAnsi="Calibri" w:cs="Arial"/>
          <w:i w:val="false"/>
          <w:i w:val="false"/>
          <w:iCs w:val="false"/>
          <w:color w:val="auto"/>
          <w:sz w:val="22"/>
          <w:szCs w:val="22"/>
        </w:rPr>
      </w:pPr>
      <w:r>
        <w:rPr>
          <w:rFonts w:cs="Arial"/>
          <w:i w:val="false"/>
          <w:iCs w:val="false"/>
          <w:color w:val="auto"/>
          <w:sz w:val="22"/>
          <w:szCs w:val="22"/>
        </w:rPr>
      </w:r>
    </w:p>
    <w:p>
      <w:pPr>
        <w:pStyle w:val="ListParagraph"/>
        <w:numPr>
          <w:ilvl w:val="0"/>
          <w:numId w:val="0"/>
        </w:numPr>
        <w:spacing w:lineRule="auto" w:line="276" w:before="0" w:after="0"/>
        <w:ind w:left="4417" w:hanging="0"/>
        <w:contextualSpacing/>
        <w:jc w:val="both"/>
        <w:rPr>
          <w:rFonts w:ascii="Calibri" w:hAnsi="Calibri"/>
          <w:sz w:val="22"/>
          <w:szCs w:val="22"/>
        </w:rPr>
      </w:pPr>
      <w:r>
        <w:rPr>
          <w:sz w:val="22"/>
          <w:szCs w:val="22"/>
        </w:rPr>
      </w:r>
    </w:p>
    <w:p>
      <w:pPr>
        <w:pStyle w:val="Nivel1"/>
        <w:numPr>
          <w:ilvl w:val="0"/>
          <w:numId w:val="1"/>
        </w:numPr>
        <w:spacing w:before="0" w:after="0"/>
        <w:rPr>
          <w:rFonts w:ascii="Calibri" w:hAnsi="Calibri"/>
          <w:sz w:val="22"/>
          <w:szCs w:val="22"/>
        </w:rPr>
      </w:pPr>
      <w:r>
        <w:rPr>
          <w:rFonts w:ascii="Calibri" w:hAnsi="Calibri"/>
          <w:sz w:val="22"/>
          <w:szCs w:val="22"/>
        </w:rPr>
        <w:t>MODELO DE EXECUÇÃO CONTRATUAL (arts. 6º, XXIII, alínea “e” e 40, §1º, inciso II, da Lei nº 14.133/2021).</w:t>
      </w:r>
    </w:p>
    <w:p>
      <w:pPr>
        <w:pStyle w:val="Normal"/>
        <w:numPr>
          <w:ilvl w:val="0"/>
          <w:numId w:val="0"/>
        </w:numPr>
        <w:spacing w:before="0" w:after="0"/>
        <w:ind w:left="360" w:hanging="0"/>
        <w:rPr>
          <w:rFonts w:ascii="Calibri" w:hAnsi="Calibri"/>
          <w:sz w:val="22"/>
          <w:szCs w:val="22"/>
        </w:rPr>
      </w:pPr>
      <w:r>
        <w:rPr>
          <w:sz w:val="22"/>
          <w:szCs w:val="22"/>
        </w:rPr>
      </w:r>
    </w:p>
    <w:p>
      <w:pPr>
        <w:pStyle w:val="Nivel2"/>
        <w:spacing w:before="0" w:after="0"/>
        <w:rPr>
          <w:rFonts w:ascii="Calibri" w:hAnsi="Calibri"/>
          <w:sz w:val="22"/>
          <w:szCs w:val="22"/>
        </w:rPr>
      </w:pPr>
      <w:r>
        <w:rPr>
          <w:rFonts w:ascii="Calibri" w:hAnsi="Calibri"/>
          <w:bCs/>
          <w:i w:val="false"/>
          <w:iCs w:val="false"/>
          <w:color w:val="auto"/>
          <w:sz w:val="22"/>
          <w:szCs w:val="22"/>
        </w:rPr>
        <w:t xml:space="preserve">5.1. </w:t>
      </w:r>
      <w:r>
        <w:rPr>
          <w:rFonts w:cs="Arial" w:ascii="Calibri" w:hAnsi="Calibri"/>
          <w:i w:val="false"/>
          <w:iCs w:val="false"/>
          <w:color w:val="auto"/>
          <w:sz w:val="22"/>
          <w:szCs w:val="22"/>
        </w:rPr>
        <w:t>O prazo de entrega dos bens é de 10 dias (úteis), contados do recebimento da Nota de Empenho, em remessa única.</w:t>
      </w:r>
    </w:p>
    <w:p>
      <w:pPr>
        <w:pStyle w:val="Nivel2"/>
        <w:spacing w:before="0" w:after="0"/>
        <w:rPr>
          <w:rFonts w:ascii="Calibri" w:hAnsi="Calibri" w:cs="Arial"/>
          <w:sz w:val="22"/>
          <w:szCs w:val="22"/>
        </w:rPr>
      </w:pPr>
      <w:r>
        <w:rPr>
          <w:rFonts w:cs="Arial" w:ascii="Calibri" w:hAnsi="Calibri"/>
          <w:sz w:val="22"/>
          <w:szCs w:val="22"/>
        </w:rPr>
      </w:r>
    </w:p>
    <w:p>
      <w:pPr>
        <w:pStyle w:val="Nivel2"/>
        <w:spacing w:before="0" w:after="0"/>
        <w:rPr>
          <w:rFonts w:ascii="Calibri" w:hAnsi="Calibri"/>
          <w:sz w:val="22"/>
          <w:szCs w:val="22"/>
        </w:rPr>
      </w:pPr>
      <w:r>
        <w:rPr>
          <w:rFonts w:cs="Arial" w:ascii="Calibri" w:hAnsi="Calibri"/>
          <w:bCs/>
          <w:i w:val="false"/>
          <w:iCs w:val="false"/>
          <w:color w:val="auto"/>
          <w:sz w:val="22"/>
          <w:szCs w:val="22"/>
        </w:rPr>
        <w:t xml:space="preserve">5.2. Caso não seja possível a entrega na data assinalada, a empresa deverá comunicar as razões respectivas com pelo menos 3 (três) dias de antecedência para que qualquer pleito de prorrogação de prazo seja analisado, ressalvadas situações de caso fortuito e </w:t>
      </w:r>
      <w:r>
        <w:rPr>
          <w:rFonts w:cs="Arial" w:ascii="Calibri" w:hAnsi="Calibri"/>
          <w:i w:val="false"/>
          <w:iCs w:val="false"/>
          <w:color w:val="auto"/>
          <w:sz w:val="22"/>
          <w:szCs w:val="22"/>
        </w:rPr>
        <w:t>força</w:t>
      </w:r>
      <w:r>
        <w:rPr>
          <w:rFonts w:cs="Arial" w:ascii="Calibri" w:hAnsi="Calibri"/>
          <w:bCs/>
          <w:i w:val="false"/>
          <w:iCs w:val="false"/>
          <w:color w:val="auto"/>
          <w:sz w:val="22"/>
          <w:szCs w:val="22"/>
        </w:rPr>
        <w:t xml:space="preserve"> maior.</w:t>
      </w:r>
    </w:p>
    <w:p>
      <w:pPr>
        <w:pStyle w:val="Nivel2"/>
        <w:spacing w:before="0" w:after="0"/>
        <w:rPr>
          <w:rFonts w:ascii="Calibri" w:hAnsi="Calibri" w:cs="Arial"/>
          <w:bCs/>
          <w:sz w:val="22"/>
          <w:szCs w:val="22"/>
        </w:rPr>
      </w:pPr>
      <w:r>
        <w:rPr>
          <w:rFonts w:cs="Arial" w:ascii="Calibri" w:hAnsi="Calibri"/>
          <w:bCs/>
          <w:sz w:val="22"/>
          <w:szCs w:val="22"/>
        </w:rPr>
      </w:r>
    </w:p>
    <w:p>
      <w:pPr>
        <w:pStyle w:val="Nivel2"/>
        <w:spacing w:before="0" w:after="0"/>
        <w:rPr>
          <w:rFonts w:ascii="Calibri" w:hAnsi="Calibri"/>
          <w:sz w:val="22"/>
          <w:szCs w:val="22"/>
        </w:rPr>
      </w:pPr>
      <w:r>
        <w:rPr>
          <w:rFonts w:cs="Arial" w:ascii="Calibri" w:hAnsi="Calibri"/>
          <w:bCs/>
          <w:i w:val="false"/>
          <w:iCs w:val="false"/>
          <w:color w:val="auto"/>
          <w:sz w:val="22"/>
          <w:szCs w:val="22"/>
        </w:rPr>
        <w:t xml:space="preserve">5.3. Os bens deverão ser entregues no </w:t>
      </w:r>
      <w:r>
        <w:rPr>
          <w:rFonts w:cs="Arial" w:ascii="Calibri" w:hAnsi="Calibri"/>
          <w:i w:val="false"/>
          <w:iCs w:val="false"/>
          <w:color w:val="auto"/>
          <w:sz w:val="22"/>
          <w:szCs w:val="22"/>
        </w:rPr>
        <w:t>horário de 8:00 horas às 16:00 horas, nos seguintes endereços:</w:t>
      </w:r>
    </w:p>
    <w:p>
      <w:pPr>
        <w:pStyle w:val="Normal"/>
        <w:widowControl/>
        <w:numPr>
          <w:ilvl w:val="0"/>
          <w:numId w:val="0"/>
        </w:numPr>
        <w:bidi w:val="0"/>
        <w:spacing w:lineRule="auto" w:line="276" w:before="120" w:after="120"/>
        <w:ind w:left="930" w:hanging="0"/>
        <w:jc w:val="both"/>
        <w:rPr>
          <w:rFonts w:ascii="Calibri" w:hAnsi="Calibri"/>
          <w:sz w:val="22"/>
          <w:szCs w:val="22"/>
        </w:rPr>
      </w:pPr>
      <w:r>
        <w:rPr>
          <w:rFonts w:cs="Arial"/>
          <w:b/>
          <w:i w:val="false"/>
          <w:iCs w:val="false"/>
          <w:color w:val="auto"/>
          <w:sz w:val="22"/>
          <w:szCs w:val="22"/>
        </w:rPr>
        <w:t>5.3.1. ESCOLA DE APRENDIZES-MARINHEIROS DO CEARÁ</w:t>
      </w:r>
      <w:r>
        <w:rPr>
          <w:rFonts w:cs="Arial"/>
          <w:i w:val="false"/>
          <w:iCs w:val="false"/>
          <w:color w:val="auto"/>
          <w:sz w:val="22"/>
          <w:szCs w:val="22"/>
        </w:rPr>
        <w:t xml:space="preserve"> – Av. Cel Filomeno Gomes, nº 30, Jacarecanga – Fortaleza – CE</w:t>
      </w:r>
      <w:r>
        <w:rPr>
          <w:rFonts w:cs="Arial"/>
          <w:b/>
          <w:bCs/>
          <w:i w:val="false"/>
          <w:iCs w:val="false"/>
          <w:color w:val="auto"/>
          <w:sz w:val="22"/>
          <w:szCs w:val="22"/>
        </w:rPr>
        <w:t>;</w:t>
      </w:r>
    </w:p>
    <w:p>
      <w:pPr>
        <w:pStyle w:val="Normal"/>
        <w:widowControl/>
        <w:numPr>
          <w:ilvl w:val="0"/>
          <w:numId w:val="0"/>
        </w:numPr>
        <w:bidi w:val="0"/>
        <w:spacing w:lineRule="auto" w:line="276" w:before="120" w:after="120"/>
        <w:ind w:left="930" w:hanging="0"/>
        <w:jc w:val="both"/>
        <w:rPr>
          <w:rFonts w:ascii="Calibri" w:hAnsi="Calibri"/>
          <w:sz w:val="22"/>
          <w:szCs w:val="22"/>
        </w:rPr>
      </w:pPr>
      <w:r>
        <w:rPr>
          <w:rFonts w:cs="Arial"/>
          <w:b/>
          <w:bCs/>
          <w:i w:val="false"/>
          <w:iCs w:val="false"/>
          <w:color w:val="auto"/>
          <w:sz w:val="22"/>
          <w:szCs w:val="22"/>
        </w:rPr>
        <w:t xml:space="preserve">5.3.2. CAPITANIA DOS PORTOS DO CEARÁ </w:t>
      </w:r>
      <w:r>
        <w:rPr>
          <w:rFonts w:cs="Arial"/>
          <w:bCs/>
          <w:i w:val="false"/>
          <w:iCs w:val="false"/>
          <w:color w:val="auto"/>
          <w:sz w:val="22"/>
          <w:szCs w:val="22"/>
        </w:rPr>
        <w:t>– Av. Vicente de Castro, nº 4917, Mucuripe – Fortaleza/CE;</w:t>
      </w:r>
    </w:p>
    <w:p>
      <w:pPr>
        <w:pStyle w:val="Normal"/>
        <w:widowControl/>
        <w:bidi w:val="0"/>
        <w:spacing w:lineRule="auto" w:line="276" w:before="120" w:after="120"/>
        <w:jc w:val="both"/>
        <w:rPr>
          <w:rFonts w:ascii="Calibri" w:hAnsi="Calibri"/>
          <w:sz w:val="22"/>
          <w:szCs w:val="22"/>
        </w:rPr>
      </w:pPr>
      <w:r>
        <w:rPr>
          <w:rFonts w:cs="Arial"/>
          <w:bCs/>
          <w:i w:val="false"/>
          <w:iCs w:val="false"/>
          <w:color w:val="auto"/>
          <w:sz w:val="22"/>
          <w:szCs w:val="22"/>
        </w:rPr>
        <w:t xml:space="preserve">5.4. </w:t>
      </w:r>
      <w:r>
        <w:rPr>
          <w:bCs/>
          <w:color w:val="auto"/>
          <w:sz w:val="22"/>
          <w:szCs w:val="22"/>
        </w:rPr>
        <w:t>Os bens serão recebidos provisoriamente, de forma sumária, no prazo de 10 dias úteis, pelo(a) responsável pelo acompanhamento e fiscalização do contrato, para efeito de posterior verificação de sua conformidade com as especificações constantes neste Termo de Referência e na proposta.</w:t>
      </w:r>
    </w:p>
    <w:p>
      <w:pPr>
        <w:pStyle w:val="Nivel2"/>
        <w:numPr>
          <w:ilvl w:val="0"/>
          <w:numId w:val="0"/>
        </w:numPr>
        <w:spacing w:before="0" w:after="0"/>
        <w:ind w:left="432" w:hanging="0"/>
        <w:rPr>
          <w:rFonts w:ascii="Calibri" w:hAnsi="Calibri"/>
          <w:sz w:val="22"/>
          <w:szCs w:val="22"/>
        </w:rPr>
      </w:pPr>
      <w:r>
        <w:rPr>
          <w:rFonts w:ascii="Calibri" w:hAnsi="Calibri"/>
          <w:bCs/>
          <w:color w:val="auto"/>
          <w:sz w:val="22"/>
          <w:szCs w:val="22"/>
        </w:rPr>
        <w:t>5.5. Os bens poderão ser rejeitados, no todo ou em parte, quando em desacordo com as especificações constantes neste Termo de Referência e na proposta, devendo ser substituídos no prazo de 03 dias, a contar da notificação da contratada, às suas custas, sem prejuízo da aplicação das penalidades.</w:t>
      </w:r>
    </w:p>
    <w:p>
      <w:pPr>
        <w:pStyle w:val="Nivel2"/>
        <w:numPr>
          <w:ilvl w:val="0"/>
          <w:numId w:val="0"/>
        </w:numPr>
        <w:spacing w:before="0" w:after="0"/>
        <w:ind w:left="716" w:hanging="0"/>
        <w:rPr>
          <w:rFonts w:ascii="Calibri" w:hAnsi="Calibri"/>
          <w:sz w:val="22"/>
          <w:szCs w:val="22"/>
        </w:rPr>
      </w:pPr>
      <w:r>
        <w:rPr>
          <w:rFonts w:ascii="Calibri" w:hAnsi="Calibri"/>
          <w:sz w:val="22"/>
          <w:szCs w:val="22"/>
        </w:rPr>
      </w:r>
    </w:p>
    <w:p>
      <w:pPr>
        <w:pStyle w:val="Nivel2"/>
        <w:numPr>
          <w:ilvl w:val="0"/>
          <w:numId w:val="0"/>
        </w:numPr>
        <w:spacing w:before="0" w:after="0"/>
        <w:ind w:left="716" w:hanging="0"/>
        <w:rPr>
          <w:rFonts w:ascii="Calibri" w:hAnsi="Calibri"/>
          <w:sz w:val="22"/>
          <w:szCs w:val="22"/>
        </w:rPr>
      </w:pPr>
      <w:r>
        <w:rPr>
          <w:rFonts w:ascii="Calibri" w:hAnsi="Calibri"/>
          <w:sz w:val="22"/>
          <w:szCs w:val="22"/>
        </w:rPr>
      </w:r>
    </w:p>
    <w:p>
      <w:pPr>
        <w:pStyle w:val="Nivel1"/>
        <w:numPr>
          <w:ilvl w:val="0"/>
          <w:numId w:val="1"/>
        </w:numPr>
        <w:spacing w:before="0" w:after="0"/>
        <w:rPr>
          <w:rFonts w:ascii="Calibri" w:hAnsi="Calibri"/>
          <w:sz w:val="22"/>
          <w:szCs w:val="22"/>
        </w:rPr>
      </w:pPr>
      <w:r>
        <w:rPr>
          <w:rFonts w:ascii="Calibri" w:hAnsi="Calibri"/>
          <w:sz w:val="22"/>
          <w:szCs w:val="22"/>
        </w:rPr>
        <w:t>MODELO DE GESTÃO DO CONTRATO (art. 6º, XXIII, alínea “f”, da Lei nº 14.133/21)</w:t>
      </w:r>
    </w:p>
    <w:p>
      <w:pPr>
        <w:pStyle w:val="Nivel2"/>
        <w:spacing w:before="0" w:after="0"/>
        <w:rPr>
          <w:rFonts w:ascii="Calibri" w:hAnsi="Calibri"/>
          <w:color w:val="auto"/>
          <w:sz w:val="22"/>
          <w:szCs w:val="22"/>
        </w:rPr>
      </w:pPr>
      <w:r>
        <w:rPr>
          <w:rFonts w:ascii="Calibri" w:hAnsi="Calibri"/>
          <w:color w:val="auto"/>
          <w:sz w:val="22"/>
          <w:szCs w:val="22"/>
        </w:rPr>
      </w:r>
    </w:p>
    <w:p>
      <w:pPr>
        <w:pStyle w:val="Nivel2"/>
        <w:numPr>
          <w:ilvl w:val="0"/>
          <w:numId w:val="0"/>
        </w:numPr>
        <w:spacing w:before="0" w:after="0"/>
        <w:ind w:left="432" w:hanging="0"/>
        <w:rPr>
          <w:rFonts w:ascii="Calibri" w:hAnsi="Calibri"/>
          <w:sz w:val="22"/>
          <w:szCs w:val="22"/>
        </w:rPr>
      </w:pPr>
      <w:r>
        <w:rPr>
          <w:rFonts w:ascii="Calibri" w:hAnsi="Calibri"/>
          <w:color w:val="auto"/>
          <w:sz w:val="22"/>
          <w:szCs w:val="22"/>
        </w:rPr>
        <w:t xml:space="preserve">6.1. O contrato deverá ser executado fielmente pelas partes, de acordo com as cláusulas avençadas e as normas da Lei nº 14.133, de 2021, e cada parte responderá pelas consequências de sua inexecução total ou parcial (Lei nº 14.133/2021, art. 115, </w:t>
      </w:r>
      <w:r>
        <w:rPr>
          <w:rFonts w:ascii="Calibri" w:hAnsi="Calibri"/>
          <w:i/>
          <w:iCs/>
          <w:color w:val="auto"/>
          <w:sz w:val="22"/>
          <w:szCs w:val="22"/>
        </w:rPr>
        <w:t>caput</w:t>
      </w:r>
      <w:r>
        <w:rPr>
          <w:rFonts w:ascii="Calibri" w:hAnsi="Calibri"/>
          <w:color w:val="auto"/>
          <w:sz w:val="22"/>
          <w:szCs w:val="22"/>
        </w:rPr>
        <w:t>).</w:t>
      </w:r>
    </w:p>
    <w:p>
      <w:pPr>
        <w:pStyle w:val="Nivel2"/>
        <w:numPr>
          <w:ilvl w:val="0"/>
          <w:numId w:val="0"/>
        </w:numPr>
        <w:spacing w:before="0" w:after="0"/>
        <w:ind w:left="432" w:hanging="0"/>
        <w:rPr>
          <w:rFonts w:ascii="Calibri" w:hAnsi="Calibri"/>
          <w:sz w:val="22"/>
          <w:szCs w:val="22"/>
        </w:rPr>
      </w:pPr>
      <w:bookmarkStart w:id="0" w:name="art115%25252525252525252525C2%2525252525"/>
      <w:bookmarkStart w:id="1" w:name="art115%25252525252525252525C2%2525252525"/>
      <w:bookmarkEnd w:id="0"/>
      <w:bookmarkEnd w:id="1"/>
      <w:r>
        <w:rPr>
          <w:rFonts w:ascii="Calibri" w:hAnsi="Calibri"/>
          <w:color w:val="auto"/>
          <w:sz w:val="22"/>
          <w:szCs w:val="22"/>
        </w:rPr>
        <w:t>6.2. Em caso de impedimento, ordem de paralisação ou suspensão do contrato, o cronograma de execução será prorrogado automaticamente pelo tempo correspondente, anotadas tais circunstâncias mediante simples apostila (Lei nº 14.133/2021, art. 115, §5º).</w:t>
      </w:r>
    </w:p>
    <w:p>
      <w:pPr>
        <w:pStyle w:val="Nivel2"/>
        <w:numPr>
          <w:ilvl w:val="0"/>
          <w:numId w:val="0"/>
        </w:numPr>
        <w:spacing w:before="0" w:after="0"/>
        <w:ind w:left="432" w:hanging="0"/>
        <w:rPr>
          <w:rFonts w:ascii="Calibri" w:hAnsi="Calibri"/>
          <w:sz w:val="22"/>
          <w:szCs w:val="22"/>
        </w:rPr>
      </w:pPr>
      <w:bookmarkStart w:id="2" w:name="art116"/>
      <w:bookmarkEnd w:id="2"/>
      <w:r>
        <w:rPr>
          <w:rFonts w:ascii="Calibri" w:hAnsi="Calibri"/>
          <w:color w:val="auto"/>
          <w:sz w:val="22"/>
          <w:szCs w:val="22"/>
        </w:rPr>
        <w:t xml:space="preserve">6.3. A execução do contrato deverá ser acompanhada e fiscalizada pelo(s) fiscal(is) do contrato, ou pelos respectivos substitutos (Lei nº 14.133/2021, art. 117, </w:t>
      </w:r>
      <w:r>
        <w:rPr>
          <w:rFonts w:ascii="Calibri" w:hAnsi="Calibri"/>
          <w:i/>
          <w:iCs/>
          <w:color w:val="auto"/>
          <w:sz w:val="22"/>
          <w:szCs w:val="22"/>
        </w:rPr>
        <w:t>caput</w:t>
      </w:r>
      <w:r>
        <w:rPr>
          <w:rFonts w:ascii="Calibri" w:hAnsi="Calibri"/>
          <w:color w:val="auto"/>
          <w:sz w:val="22"/>
          <w:szCs w:val="22"/>
        </w:rPr>
        <w:t>).</w:t>
      </w:r>
      <w:bookmarkStart w:id="3" w:name="art117%25252525252525252525C2%2525252525"/>
      <w:bookmarkEnd w:id="3"/>
    </w:p>
    <w:p>
      <w:pPr>
        <w:pStyle w:val="Nivel3"/>
        <w:numPr>
          <w:ilvl w:val="0"/>
          <w:numId w:val="0"/>
        </w:numPr>
        <w:spacing w:before="0" w:after="0"/>
        <w:ind w:left="1355" w:hanging="0"/>
        <w:contextualSpacing/>
        <w:rPr>
          <w:rFonts w:ascii="Calibri" w:hAnsi="Calibri"/>
          <w:sz w:val="22"/>
          <w:szCs w:val="22"/>
        </w:rPr>
      </w:pPr>
      <w:r>
        <w:rPr>
          <w:rFonts w:ascii="Calibri" w:hAnsi="Calibri"/>
          <w:sz w:val="22"/>
          <w:szCs w:val="22"/>
        </w:rPr>
        <w:t>6.3.1. O fiscal do contrato anotará em registro próprio todas as ocorrências relacionadas à execução do contrato, determinando o que for necessário para a regularização das faltas ou dos defeitos observados (Lei nº 14.133/2021, art. 117, §1º).</w:t>
      </w:r>
    </w:p>
    <w:p>
      <w:pPr>
        <w:pStyle w:val="Nivel3"/>
        <w:numPr>
          <w:ilvl w:val="0"/>
          <w:numId w:val="0"/>
        </w:numPr>
        <w:spacing w:before="0" w:after="0"/>
        <w:ind w:left="1355" w:hanging="0"/>
        <w:contextualSpacing/>
        <w:rPr>
          <w:rFonts w:ascii="Calibri" w:hAnsi="Calibri"/>
          <w:sz w:val="22"/>
          <w:szCs w:val="22"/>
        </w:rPr>
      </w:pPr>
      <w:bookmarkStart w:id="4" w:name="art117%25252525252525252525C2%2525252525"/>
      <w:bookmarkEnd w:id="4"/>
      <w:r>
        <w:rPr>
          <w:rFonts w:ascii="Calibri" w:hAnsi="Calibri"/>
          <w:sz w:val="22"/>
          <w:szCs w:val="22"/>
        </w:rPr>
        <w:t>6.3.2. O fiscal do contrato informará a seus superiores, em tempo hábil para a adoção das medidas convenientes, a situação que demandar decisão ou providência que ultrapasse sua competência (Lei nº 14.133/2021, art. 117, §2º).</w:t>
      </w:r>
    </w:p>
    <w:p>
      <w:pPr>
        <w:pStyle w:val="Nivel2"/>
        <w:numPr>
          <w:ilvl w:val="0"/>
          <w:numId w:val="0"/>
        </w:numPr>
        <w:spacing w:before="0" w:after="0"/>
        <w:ind w:left="432" w:hanging="0"/>
        <w:rPr>
          <w:rFonts w:ascii="Calibri" w:hAnsi="Calibri"/>
          <w:sz w:val="22"/>
          <w:szCs w:val="22"/>
        </w:rPr>
      </w:pPr>
      <w:r>
        <w:rPr>
          <w:rFonts w:ascii="Calibri" w:hAnsi="Calibri"/>
          <w:color w:val="auto"/>
          <w:sz w:val="22"/>
          <w:szCs w:val="22"/>
        </w:rPr>
        <w:t>6.4.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Nivel2"/>
        <w:numPr>
          <w:ilvl w:val="0"/>
          <w:numId w:val="0"/>
        </w:numPr>
        <w:spacing w:before="0" w:after="0"/>
        <w:ind w:left="432" w:hanging="0"/>
        <w:rPr>
          <w:rFonts w:ascii="Calibri" w:hAnsi="Calibri"/>
          <w:sz w:val="22"/>
          <w:szCs w:val="22"/>
        </w:rPr>
      </w:pPr>
      <w:bookmarkStart w:id="5" w:name="art120"/>
      <w:bookmarkEnd w:id="5"/>
      <w:r>
        <w:rPr>
          <w:rFonts w:ascii="Calibri" w:hAnsi="Calibri"/>
          <w:color w:val="auto"/>
          <w:sz w:val="22"/>
          <w:szCs w:val="22"/>
        </w:rPr>
        <w:t>6.5.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Nivel2"/>
        <w:numPr>
          <w:ilvl w:val="0"/>
          <w:numId w:val="0"/>
        </w:numPr>
        <w:spacing w:before="0" w:after="0"/>
        <w:ind w:left="432" w:hanging="0"/>
        <w:rPr>
          <w:rFonts w:ascii="Calibri" w:hAnsi="Calibri"/>
          <w:sz w:val="22"/>
          <w:szCs w:val="22"/>
        </w:rPr>
      </w:pPr>
      <w:bookmarkStart w:id="6" w:name="art121"/>
      <w:bookmarkEnd w:id="6"/>
      <w:r>
        <w:rPr>
          <w:rFonts w:ascii="Calibri" w:hAnsi="Calibri"/>
          <w:color w:val="auto"/>
          <w:sz w:val="22"/>
          <w:szCs w:val="22"/>
        </w:rPr>
        <w:t xml:space="preserve">6.6. Somente o contratado será responsável pelos encargos trabalhistas, previdenciários, fiscais e comerciais resultantes da execução do contrato (Lei nº 14.133/2021, art. 121, </w:t>
      </w:r>
      <w:r>
        <w:rPr>
          <w:rFonts w:ascii="Calibri" w:hAnsi="Calibri"/>
          <w:i/>
          <w:iCs/>
          <w:color w:val="auto"/>
          <w:sz w:val="22"/>
          <w:szCs w:val="22"/>
        </w:rPr>
        <w:t>caput</w:t>
      </w:r>
      <w:r>
        <w:rPr>
          <w:rFonts w:ascii="Calibri" w:hAnsi="Calibri"/>
          <w:color w:val="auto"/>
          <w:sz w:val="22"/>
          <w:szCs w:val="22"/>
        </w:rPr>
        <w:t>).</w:t>
      </w:r>
    </w:p>
    <w:p>
      <w:pPr>
        <w:pStyle w:val="Nivel3"/>
        <w:numPr>
          <w:ilvl w:val="0"/>
          <w:numId w:val="0"/>
        </w:numPr>
        <w:spacing w:before="0" w:after="0"/>
        <w:ind w:left="1355" w:hanging="0"/>
        <w:contextualSpacing/>
        <w:rPr>
          <w:rFonts w:ascii="Calibri" w:hAnsi="Calibri"/>
          <w:sz w:val="22"/>
          <w:szCs w:val="22"/>
        </w:rPr>
      </w:pPr>
      <w:bookmarkStart w:id="7" w:name="art121%25252525252525252525C2%2525252525"/>
      <w:bookmarkEnd w:id="7"/>
      <w:r>
        <w:rPr>
          <w:rFonts w:ascii="Calibri" w:hAnsi="Calibri"/>
          <w:sz w:val="22"/>
          <w:szCs w:val="22"/>
        </w:rPr>
        <w:t>6.6.1. A inadimplência do contratado em relação aos encargos trabalhistas, fiscais e comerciais não transferirá à Administração a responsabilidade pelo seu pagamento e não poderá onerar o objeto do contrato (Lei nº 14.133/2021, art. 121, §1º).</w:t>
      </w:r>
    </w:p>
    <w:p>
      <w:pPr>
        <w:pStyle w:val="Nivel2"/>
        <w:numPr>
          <w:ilvl w:val="0"/>
          <w:numId w:val="0"/>
        </w:numPr>
        <w:spacing w:before="0" w:after="0"/>
        <w:ind w:left="432" w:hanging="0"/>
        <w:rPr>
          <w:rFonts w:ascii="Calibri" w:hAnsi="Calibri"/>
          <w:sz w:val="22"/>
          <w:szCs w:val="22"/>
        </w:rPr>
      </w:pPr>
      <w:bookmarkStart w:id="8" w:name="art122"/>
      <w:bookmarkStart w:id="9" w:name="art122%25252525252525252525C2%2525252525"/>
      <w:bookmarkStart w:id="10" w:name="art122%25252525252525252525C2%2525252525"/>
      <w:bookmarkStart w:id="11" w:name="art122%25252525252525252525C2%2525252525"/>
      <w:bookmarkStart w:id="12" w:name="art123"/>
      <w:bookmarkEnd w:id="8"/>
      <w:bookmarkEnd w:id="9"/>
      <w:bookmarkEnd w:id="10"/>
      <w:bookmarkEnd w:id="11"/>
      <w:bookmarkEnd w:id="12"/>
      <w:r>
        <w:rPr>
          <w:rFonts w:ascii="Calibri" w:hAnsi="Calibri"/>
          <w:sz w:val="22"/>
          <w:szCs w:val="22"/>
        </w:rPr>
        <w:t>6.7. As comunicações entre o órgão ou entidade e a contratada devem ser realizadas por escrito sempre que o ato exigir tal formalidade, admitindo-se, excepcionalmente, o uso de mensagem eletrônica para esse fim (IN 5/2017, art. 44, §2º).</w:t>
      </w:r>
    </w:p>
    <w:p>
      <w:pPr>
        <w:pStyle w:val="Nivel2"/>
        <w:numPr>
          <w:ilvl w:val="0"/>
          <w:numId w:val="0"/>
        </w:numPr>
        <w:spacing w:before="0" w:after="0"/>
        <w:ind w:left="432" w:hanging="0"/>
        <w:rPr>
          <w:rFonts w:ascii="Calibri" w:hAnsi="Calibri"/>
          <w:sz w:val="22"/>
          <w:szCs w:val="22"/>
        </w:rPr>
      </w:pPr>
      <w:r>
        <w:rPr>
          <w:rFonts w:ascii="Calibri" w:hAnsi="Calibri"/>
          <w:sz w:val="22"/>
          <w:szCs w:val="22"/>
        </w:rPr>
        <w:t>6.8. O órgão ou entidade poderá convocar representante da empresa para adoção de providências que devam ser cumpridas de imediato (IN 5/2017, art. 44, 31º).</w:t>
      </w:r>
    </w:p>
    <w:p>
      <w:pPr>
        <w:pStyle w:val="Nivel2"/>
        <w:numPr>
          <w:ilvl w:val="0"/>
          <w:numId w:val="0"/>
        </w:numPr>
        <w:spacing w:before="0" w:after="0"/>
        <w:ind w:left="432" w:hanging="0"/>
        <w:rPr>
          <w:rFonts w:ascii="Calibri" w:hAnsi="Calibri"/>
          <w:sz w:val="22"/>
          <w:szCs w:val="22"/>
        </w:rPr>
      </w:pPr>
      <w:r>
        <w:rPr>
          <w:rFonts w:ascii="Calibri" w:hAnsi="Calibri"/>
          <w:i w:val="false"/>
          <w:iCs w:val="false"/>
          <w:color w:val="auto"/>
          <w:sz w:val="22"/>
          <w:szCs w:val="22"/>
        </w:rPr>
        <w:t>6.9. Após a assinatura do contrato ou instrumento equivalente</w:t>
      </w:r>
      <w:r>
        <w:rPr>
          <w:rFonts w:ascii="Calibri" w:hAnsi="Calibri"/>
          <w:i w:val="false"/>
          <w:iCs w:val="false"/>
          <w:strike/>
          <w:color w:val="auto"/>
          <w:sz w:val="22"/>
          <w:szCs w:val="22"/>
        </w:rPr>
        <w:t>,</w:t>
      </w:r>
      <w:r>
        <w:rPr>
          <w:rFonts w:ascii="Calibri" w:hAnsi="Calibri"/>
          <w:i w:val="false"/>
          <w:iCs w:val="false"/>
          <w:color w:val="auto"/>
          <w:sz w:val="22"/>
          <w:szCs w:val="22"/>
        </w:rPr>
        <w:t xml:space="preserve"> o órgão ou entidade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(IN 5/2017, art. 44, 31º).</w:t>
      </w:r>
    </w:p>
    <w:p>
      <w:pPr>
        <w:pStyle w:val="Nivel2"/>
        <w:numPr>
          <w:ilvl w:val="0"/>
          <w:numId w:val="0"/>
        </w:numPr>
        <w:spacing w:before="0" w:after="0"/>
        <w:ind w:left="432" w:hanging="0"/>
        <w:rPr>
          <w:rFonts w:ascii="Calibri" w:hAnsi="Calibri"/>
          <w:sz w:val="22"/>
          <w:szCs w:val="22"/>
        </w:rPr>
      </w:pPr>
      <w:r>
        <w:rPr>
          <w:rFonts w:ascii="Calibri" w:hAnsi="Calibri"/>
          <w:sz w:val="22"/>
          <w:szCs w:val="22"/>
        </w:rPr>
        <w:t>6.10. Antes do pagamento da nota fiscal ou da fatura, deverá ser consultada a situação da empresa junto ao SICAF.</w:t>
      </w:r>
    </w:p>
    <w:p>
      <w:pPr>
        <w:pStyle w:val="Nivel2"/>
        <w:numPr>
          <w:ilvl w:val="0"/>
          <w:numId w:val="0"/>
        </w:numPr>
        <w:spacing w:before="0" w:after="0"/>
        <w:ind w:left="432" w:hanging="0"/>
        <w:rPr>
          <w:rFonts w:ascii="Calibri" w:hAnsi="Calibri"/>
          <w:sz w:val="22"/>
          <w:szCs w:val="22"/>
        </w:rPr>
      </w:pPr>
      <w:r>
        <w:rPr>
          <w:rFonts w:ascii="Calibri" w:hAnsi="Calibri"/>
          <w:sz w:val="22"/>
          <w:szCs w:val="22"/>
        </w:rPr>
        <w:t>6.11.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Nivel2"/>
        <w:numPr>
          <w:ilvl w:val="0"/>
          <w:numId w:val="0"/>
        </w:numPr>
        <w:spacing w:before="0" w:after="0"/>
        <w:ind w:left="432" w:hanging="0"/>
        <w:rPr>
          <w:rFonts w:ascii="Calibri" w:hAnsi="Calibri"/>
          <w:sz w:val="22"/>
          <w:szCs w:val="22"/>
        </w:rPr>
      </w:pPr>
      <w:r>
        <w:rPr>
          <w:rFonts w:ascii="Calibri" w:hAnsi="Calibri"/>
          <w:sz w:val="22"/>
          <w:szCs w:val="22"/>
        </w:rPr>
      </w:r>
    </w:p>
    <w:p>
      <w:pPr>
        <w:pStyle w:val="Nivel2"/>
        <w:numPr>
          <w:ilvl w:val="0"/>
          <w:numId w:val="0"/>
        </w:numPr>
        <w:spacing w:before="0" w:after="0"/>
        <w:ind w:left="432" w:hanging="0"/>
        <w:rPr>
          <w:rFonts w:ascii="Calibri" w:hAnsi="Calibri"/>
          <w:sz w:val="22"/>
          <w:szCs w:val="22"/>
        </w:rPr>
      </w:pPr>
      <w:r>
        <w:rPr>
          <w:rFonts w:ascii="Calibri" w:hAnsi="Calibri"/>
          <w:sz w:val="22"/>
          <w:szCs w:val="22"/>
        </w:rPr>
      </w:r>
    </w:p>
    <w:p>
      <w:pPr>
        <w:pStyle w:val="Nivel1"/>
        <w:numPr>
          <w:ilvl w:val="0"/>
          <w:numId w:val="1"/>
        </w:numPr>
        <w:spacing w:before="0" w:after="0"/>
        <w:rPr>
          <w:rFonts w:ascii="Calibri" w:hAnsi="Calibri"/>
          <w:sz w:val="22"/>
          <w:szCs w:val="22"/>
        </w:rPr>
      </w:pPr>
      <w:r>
        <w:rPr>
          <w:rFonts w:ascii="Calibri" w:hAnsi="Calibri"/>
          <w:b/>
          <w:bCs/>
          <w:i w:val="false"/>
          <w:iCs w:val="false"/>
          <w:color w:val="auto"/>
          <w:sz w:val="22"/>
          <w:szCs w:val="22"/>
        </w:rPr>
        <w:t xml:space="preserve">FORMA E CRITÉRIOS DE SELEÇÃO DO FORNECEDOR MEDIANTE O USO DO SISTEMA DE DISPENSA ELETRÔNICA (art. 6º, inciso XXIII, alínea ‘h’, da Lei nº 14.133/2021) </w:t>
      </w:r>
    </w:p>
    <w:p>
      <w:pPr>
        <w:pStyle w:val="Nivel2"/>
        <w:numPr>
          <w:ilvl w:val="0"/>
          <w:numId w:val="0"/>
        </w:numPr>
        <w:ind w:left="432" w:hanging="0"/>
        <w:jc w:val="both"/>
        <w:rPr>
          <w:rFonts w:ascii="Calibri" w:hAnsi="Calibri"/>
          <w:sz w:val="22"/>
          <w:szCs w:val="22"/>
        </w:rPr>
      </w:pPr>
      <w:r>
        <w:rPr>
          <w:rFonts w:ascii="Calibri" w:hAnsi="Calibri"/>
          <w:sz w:val="22"/>
          <w:szCs w:val="22"/>
        </w:rPr>
        <w:t>7.1. O fornecedor será selecionado por meio da realização de procedimento de dispensa de licitação, na forma eletrônica, com fundamento na hipótese do art. 75, inciso V da Lei n.º 14.133/2021 (indicar um dos incisos do</w:t>
      </w:r>
      <w:bookmarkStart w:id="13" w:name="__DdeLink__6899_3203270890"/>
      <w:r>
        <w:rPr>
          <w:rFonts w:ascii="Calibri" w:hAnsi="Calibri"/>
          <w:sz w:val="22"/>
          <w:szCs w:val="22"/>
        </w:rPr>
        <w:t xml:space="preserve"> art. 75, da Lei n.º 14.133/2021</w:t>
      </w:r>
      <w:bookmarkEnd w:id="13"/>
      <w:r>
        <w:rPr>
          <w:rFonts w:ascii="Calibri" w:hAnsi="Calibri"/>
          <w:sz w:val="22"/>
          <w:szCs w:val="22"/>
        </w:rPr>
        <w:t xml:space="preserve">, conforme o caso concreto), que culminará com a seleção da proposta de menor preço por item.  </w:t>
      </w:r>
    </w:p>
    <w:p>
      <w:pPr>
        <w:pStyle w:val="Nivel2"/>
        <w:numPr>
          <w:ilvl w:val="0"/>
          <w:numId w:val="0"/>
        </w:numPr>
        <w:ind w:left="432" w:hanging="0"/>
        <w:rPr>
          <w:rFonts w:ascii="Calibri" w:hAnsi="Calibri"/>
          <w:sz w:val="22"/>
          <w:szCs w:val="22"/>
        </w:rPr>
      </w:pPr>
      <w:r>
        <w:rPr>
          <w:rFonts w:ascii="Calibri" w:hAnsi="Calibri"/>
          <w:sz w:val="22"/>
          <w:szCs w:val="22"/>
          <w:lang w:eastAsia="pt-BR"/>
        </w:rPr>
        <w:t xml:space="preserve">7.2. As exigências de habilitação jurídica, </w:t>
      </w:r>
      <w:r>
        <w:rPr>
          <w:rFonts w:ascii="Calibri" w:hAnsi="Calibri"/>
          <w:sz w:val="22"/>
          <w:szCs w:val="22"/>
          <w:lang w:eastAsia="zh-CN" w:bidi="hi-IN"/>
        </w:rPr>
        <w:t xml:space="preserve">fiscal, social e trabalhista </w:t>
      </w:r>
      <w:r>
        <w:rPr>
          <w:rFonts w:ascii="Calibri" w:hAnsi="Calibri"/>
          <w:sz w:val="22"/>
          <w:szCs w:val="22"/>
          <w:lang w:eastAsia="pt-BR"/>
        </w:rPr>
        <w:t xml:space="preserve">são as usuais para a generalidade dos objetos, conforme disciplinado no Anexo I do Aviso de </w:t>
      </w:r>
      <w:r>
        <w:rPr>
          <w:rFonts w:ascii="Calibri" w:hAnsi="Calibri"/>
          <w:sz w:val="22"/>
          <w:szCs w:val="22"/>
        </w:rPr>
        <w:t>Contratação</w:t>
      </w:r>
      <w:r>
        <w:rPr>
          <w:rFonts w:ascii="Calibri" w:hAnsi="Calibri"/>
          <w:sz w:val="22"/>
          <w:szCs w:val="22"/>
          <w:lang w:eastAsia="pt-BR"/>
        </w:rPr>
        <w:t xml:space="preserve"> Direta.</w:t>
      </w:r>
    </w:p>
    <w:p>
      <w:pPr>
        <w:pStyle w:val="Nivel2"/>
        <w:numPr>
          <w:ilvl w:val="0"/>
          <w:numId w:val="0"/>
        </w:numPr>
        <w:ind w:left="432" w:hanging="0"/>
        <w:rPr>
          <w:rFonts w:ascii="Calibri" w:hAnsi="Calibri"/>
          <w:sz w:val="22"/>
          <w:szCs w:val="22"/>
        </w:rPr>
      </w:pPr>
      <w:r>
        <w:rPr>
          <w:rFonts w:ascii="Calibri" w:hAnsi="Calibri"/>
          <w:sz w:val="22"/>
          <w:szCs w:val="22"/>
          <w:lang w:eastAsia="pt-BR"/>
        </w:rPr>
        <w:t>7.3. Os critérios de habilitação econômico-financeira a serem atendidos pelo fornecedor estão previstos no Anexo I do Aviso de Contratação Direta.</w:t>
      </w:r>
    </w:p>
    <w:p>
      <w:pPr>
        <w:pStyle w:val="Nivel2"/>
        <w:numPr>
          <w:ilvl w:val="0"/>
          <w:numId w:val="0"/>
        </w:numPr>
        <w:ind w:left="432" w:hanging="0"/>
        <w:rPr>
          <w:rFonts w:ascii="Calibri" w:hAnsi="Calibri"/>
          <w:sz w:val="22"/>
          <w:szCs w:val="22"/>
        </w:rPr>
      </w:pPr>
      <w:r>
        <w:rPr>
          <w:rFonts w:ascii="Calibri" w:hAnsi="Calibri"/>
          <w:sz w:val="22"/>
          <w:szCs w:val="22"/>
          <w:lang w:eastAsia="pt-BR"/>
        </w:rPr>
        <w:t>7.4. Os critérios de habilitação técnica a serem atendidos pelo fornecedor serão:</w:t>
      </w:r>
    </w:p>
    <w:p>
      <w:pPr>
        <w:pStyle w:val="Nivel2"/>
        <w:numPr>
          <w:ilvl w:val="0"/>
          <w:numId w:val="0"/>
        </w:numPr>
        <w:ind w:left="930" w:hanging="0"/>
        <w:rPr>
          <w:rFonts w:ascii="Calibri" w:hAnsi="Calibri"/>
          <w:sz w:val="22"/>
          <w:szCs w:val="22"/>
        </w:rPr>
      </w:pPr>
      <w:r>
        <w:rPr>
          <w:rFonts w:ascii="Calibri" w:hAnsi="Calibri"/>
          <w:sz w:val="22"/>
          <w:szCs w:val="22"/>
        </w:rPr>
        <w:t>7.4.1. Os atestados de capacidade técnica poderão ser apresentados em nome da matriz ou da filial do fornecedor.</w:t>
      </w:r>
    </w:p>
    <w:p>
      <w:pPr>
        <w:pStyle w:val="Nivel2"/>
        <w:numPr>
          <w:ilvl w:val="0"/>
          <w:numId w:val="0"/>
        </w:numPr>
        <w:ind w:left="930" w:hanging="0"/>
        <w:rPr>
          <w:rFonts w:ascii="Calibri" w:hAnsi="Calibri"/>
          <w:sz w:val="22"/>
          <w:szCs w:val="22"/>
        </w:rPr>
      </w:pPr>
      <w:r>
        <w:rPr>
          <w:rFonts w:ascii="Calibri" w:hAnsi="Calibri"/>
          <w:sz w:val="22"/>
          <w:szCs w:val="22"/>
        </w:rPr>
        <w:t>7.4.2.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ivel2"/>
        <w:spacing w:before="0" w:after="0"/>
        <w:rPr>
          <w:rFonts w:ascii="Calibri" w:hAnsi="Calibri"/>
          <w:sz w:val="22"/>
          <w:szCs w:val="22"/>
        </w:rPr>
      </w:pPr>
      <w:r>
        <w:rPr>
          <w:rFonts w:ascii="Calibri" w:hAnsi="Calibri"/>
          <w:sz w:val="22"/>
          <w:szCs w:val="22"/>
        </w:rPr>
      </w:r>
    </w:p>
    <w:p>
      <w:pPr>
        <w:pStyle w:val="Nivel2"/>
        <w:numPr>
          <w:ilvl w:val="0"/>
          <w:numId w:val="0"/>
        </w:numPr>
        <w:spacing w:before="0" w:after="0"/>
        <w:ind w:left="716" w:hanging="0"/>
        <w:rPr>
          <w:rFonts w:ascii="Calibri" w:hAnsi="Calibri"/>
          <w:sz w:val="22"/>
          <w:szCs w:val="22"/>
        </w:rPr>
      </w:pPr>
      <w:r>
        <w:rPr>
          <w:rFonts w:ascii="Calibri" w:hAnsi="Calibri"/>
          <w:i w:val="false"/>
          <w:iCs w:val="false"/>
          <w:color w:val="auto"/>
          <w:sz w:val="22"/>
          <w:szCs w:val="22"/>
        </w:rPr>
        <w:t xml:space="preserve">7.5. Previamente à celebração do contrato, a Administração verificará o eventual descumprimento das condições para contratação, especialmente quanto à existência de sanção que a impeça, mediante a consulta a cadastros informativos oficiais, tais como:  </w:t>
      </w:r>
    </w:p>
    <w:p>
      <w:pPr>
        <w:pStyle w:val="ListParagraph"/>
        <w:spacing w:lineRule="auto" w:line="276" w:before="120" w:after="120"/>
        <w:ind w:left="1134" w:hanging="0"/>
        <w:contextualSpacing/>
        <w:jc w:val="both"/>
        <w:rPr>
          <w:rFonts w:ascii="Calibri" w:hAnsi="Calibri"/>
          <w:sz w:val="22"/>
          <w:szCs w:val="22"/>
        </w:rPr>
      </w:pPr>
      <w:r>
        <w:rPr>
          <w:rFonts w:cs="Arial"/>
          <w:i w:val="false"/>
          <w:iCs w:val="false"/>
          <w:color w:val="auto"/>
          <w:sz w:val="22"/>
          <w:szCs w:val="22"/>
          <w:lang w:eastAsia="ar-SA"/>
        </w:rPr>
        <w:t xml:space="preserve">a) SICAF;  </w:t>
      </w:r>
    </w:p>
    <w:p>
      <w:pPr>
        <w:pStyle w:val="ListParagraph"/>
        <w:spacing w:lineRule="auto" w:line="276" w:before="120" w:after="120"/>
        <w:ind w:left="1134" w:hanging="0"/>
        <w:contextualSpacing/>
        <w:jc w:val="both"/>
        <w:rPr/>
      </w:pPr>
      <w:r>
        <w:rPr>
          <w:rFonts w:cs="Arial"/>
          <w:i w:val="false"/>
          <w:iCs w:val="false"/>
          <w:color w:val="auto"/>
          <w:sz w:val="22"/>
          <w:szCs w:val="22"/>
          <w:lang w:eastAsia="ar-SA"/>
        </w:rPr>
        <w:t>b) Cadastro Nacional de Empresas Inidôneas e Suspensas - CEIS, mantido pela Controladoria-Geral da União (</w:t>
      </w:r>
      <w:hyperlink r:id="rId3">
        <w:r>
          <w:rPr>
            <w:rStyle w:val="LinkdaInternet"/>
            <w:rFonts w:cs="Arial"/>
            <w:i w:val="false"/>
            <w:iCs w:val="false"/>
            <w:color w:val="auto"/>
            <w:sz w:val="22"/>
            <w:szCs w:val="22"/>
            <w:lang w:eastAsia="ar-SA"/>
          </w:rPr>
          <w:t>www.portaldatransparencia.gov.br/ceis</w:t>
        </w:r>
      </w:hyperlink>
      <w:r>
        <w:rPr>
          <w:rFonts w:cs="Arial"/>
          <w:i w:val="false"/>
          <w:iCs w:val="false"/>
          <w:color w:val="auto"/>
          <w:sz w:val="22"/>
          <w:szCs w:val="22"/>
          <w:lang w:eastAsia="ar-SA"/>
        </w:rPr>
        <w:t xml:space="preserve">);  </w:t>
      </w:r>
    </w:p>
    <w:p>
      <w:pPr>
        <w:pStyle w:val="ListParagraph"/>
        <w:spacing w:lineRule="auto" w:line="276" w:before="120" w:after="120"/>
        <w:ind w:left="1134" w:hanging="0"/>
        <w:contextualSpacing/>
        <w:jc w:val="both"/>
        <w:rPr/>
      </w:pPr>
      <w:r>
        <w:rPr>
          <w:rFonts w:cs="Arial"/>
          <w:i w:val="false"/>
          <w:iCs w:val="false"/>
          <w:color w:val="auto"/>
          <w:sz w:val="22"/>
          <w:szCs w:val="22"/>
          <w:lang w:eastAsia="ar-SA"/>
        </w:rPr>
        <w:t>c) Cadastro Nacional de Empresas Punidas – CNEP, mantido pela Controladoria-Geral da União (</w:t>
      </w:r>
      <w:hyperlink r:id="rId4">
        <w:r>
          <w:rPr>
            <w:rStyle w:val="LinkdaInternet"/>
            <w:rFonts w:cs="Arial"/>
            <w:i w:val="false"/>
            <w:iCs w:val="false"/>
            <w:color w:val="auto"/>
            <w:sz w:val="22"/>
            <w:szCs w:val="22"/>
            <w:lang w:eastAsia="ar-SA"/>
          </w:rPr>
          <w:t>https://www.portaltransparencia.gov.br/sancoes/cnep</w:t>
        </w:r>
      </w:hyperlink>
      <w:r>
        <w:rPr>
          <w:rFonts w:cs="Arial"/>
          <w:i w:val="false"/>
          <w:iCs w:val="false"/>
          <w:color w:val="auto"/>
          <w:sz w:val="22"/>
          <w:szCs w:val="22"/>
          <w:lang w:eastAsia="ar-SA"/>
        </w:rPr>
        <w:t>)</w:t>
      </w:r>
    </w:p>
    <w:p>
      <w:pPr>
        <w:pStyle w:val="ListParagraph"/>
        <w:spacing w:lineRule="auto" w:line="276" w:before="120" w:after="120"/>
        <w:ind w:left="1134" w:hanging="0"/>
        <w:contextualSpacing/>
        <w:jc w:val="both"/>
        <w:rPr>
          <w:rFonts w:ascii="Calibri" w:hAnsi="Calibri" w:cs="Arial"/>
          <w:i w:val="false"/>
          <w:i w:val="false"/>
          <w:iCs w:val="false"/>
          <w:color w:val="auto"/>
          <w:sz w:val="22"/>
          <w:szCs w:val="22"/>
          <w:lang w:eastAsia="ar-SA"/>
        </w:rPr>
      </w:pPr>
      <w:r>
        <w:rPr>
          <w:rFonts w:cs="Arial"/>
          <w:i w:val="false"/>
          <w:iCs w:val="false"/>
          <w:color w:val="auto"/>
          <w:sz w:val="22"/>
          <w:szCs w:val="22"/>
          <w:lang w:eastAsia="ar-SA"/>
        </w:rPr>
      </w:r>
    </w:p>
    <w:p>
      <w:pPr>
        <w:pStyle w:val="Nivel2"/>
        <w:numPr>
          <w:ilvl w:val="0"/>
          <w:numId w:val="0"/>
        </w:numPr>
        <w:spacing w:before="0" w:after="0"/>
        <w:ind w:left="716" w:hanging="0"/>
        <w:rPr>
          <w:rFonts w:ascii="Calibri" w:hAnsi="Calibri"/>
          <w:sz w:val="22"/>
          <w:szCs w:val="22"/>
        </w:rPr>
      </w:pPr>
      <w:r>
        <w:rPr>
          <w:rFonts w:ascii="Calibri" w:hAnsi="Calibri"/>
          <w:i w:val="false"/>
          <w:iCs w:val="false"/>
          <w:color w:val="auto"/>
          <w:sz w:val="22"/>
          <w:szCs w:val="22"/>
        </w:rPr>
        <w:t>7.6. 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ivel2"/>
        <w:numPr>
          <w:ilvl w:val="0"/>
          <w:numId w:val="0"/>
        </w:numPr>
        <w:spacing w:before="0" w:after="0"/>
        <w:ind w:left="716" w:hanging="0"/>
        <w:rPr>
          <w:rFonts w:ascii="Calibri" w:hAnsi="Calibri"/>
          <w:sz w:val="22"/>
          <w:szCs w:val="22"/>
        </w:rPr>
      </w:pPr>
      <w:r>
        <w:rPr>
          <w:rFonts w:ascii="Calibri" w:hAnsi="Calibri"/>
          <w:i w:val="false"/>
          <w:iCs w:val="false"/>
          <w:color w:val="auto"/>
          <w:sz w:val="22"/>
          <w:szCs w:val="22"/>
        </w:rPr>
        <w:t>7.7. Caso conste na Consulta de Situação do Fornecedor a existência de Ocorrências Impeditivas Indiretas, o gestor diligenciará para verificar se houve fraude por parte das empresas apontadas no Relatório de Ocorrências Impeditivas Indiretas.</w:t>
      </w:r>
    </w:p>
    <w:p>
      <w:pPr>
        <w:pStyle w:val="Nivel2"/>
        <w:numPr>
          <w:ilvl w:val="0"/>
          <w:numId w:val="0"/>
        </w:numPr>
        <w:spacing w:before="0" w:after="0"/>
        <w:ind w:left="716" w:hanging="0"/>
        <w:rPr>
          <w:rFonts w:ascii="Calibri" w:hAnsi="Calibri"/>
          <w:sz w:val="22"/>
          <w:szCs w:val="22"/>
        </w:rPr>
      </w:pPr>
      <w:r>
        <w:rPr>
          <w:rFonts w:ascii="Calibri" w:hAnsi="Calibri"/>
          <w:i w:val="false"/>
          <w:iCs w:val="false"/>
          <w:color w:val="auto"/>
          <w:sz w:val="22"/>
          <w:szCs w:val="22"/>
        </w:rPr>
        <w:t>7.8. A tentativa de burla será verificada por meio dos vínculos societários, linhas de fornecimento similares, dentre outros.</w:t>
      </w:r>
    </w:p>
    <w:p>
      <w:pPr>
        <w:pStyle w:val="Nivel2"/>
        <w:numPr>
          <w:ilvl w:val="0"/>
          <w:numId w:val="0"/>
        </w:numPr>
        <w:spacing w:before="0" w:after="0"/>
        <w:ind w:left="716" w:hanging="0"/>
        <w:rPr>
          <w:rFonts w:ascii="Calibri" w:hAnsi="Calibri"/>
          <w:sz w:val="22"/>
          <w:szCs w:val="22"/>
        </w:rPr>
      </w:pPr>
      <w:r>
        <w:rPr>
          <w:rFonts w:ascii="Calibri" w:hAnsi="Calibri"/>
          <w:i w:val="false"/>
          <w:iCs w:val="false"/>
          <w:color w:val="auto"/>
          <w:sz w:val="22"/>
          <w:szCs w:val="22"/>
        </w:rPr>
        <w:t>7.9. O fornecedor será convocado para manifestação previamente a uma eventual negativa de contratação.</w:t>
      </w:r>
    </w:p>
    <w:p>
      <w:pPr>
        <w:pStyle w:val="Nivel2"/>
        <w:numPr>
          <w:ilvl w:val="0"/>
          <w:numId w:val="0"/>
        </w:numPr>
        <w:spacing w:before="0" w:after="0"/>
        <w:ind w:left="716" w:hanging="0"/>
        <w:rPr>
          <w:rFonts w:ascii="Calibri" w:hAnsi="Calibri"/>
          <w:sz w:val="22"/>
          <w:szCs w:val="22"/>
        </w:rPr>
      </w:pPr>
      <w:r>
        <w:rPr>
          <w:rFonts w:ascii="Calibri" w:hAnsi="Calibri"/>
          <w:i w:val="false"/>
          <w:iCs w:val="false"/>
          <w:color w:val="auto"/>
          <w:sz w:val="22"/>
          <w:szCs w:val="22"/>
        </w:rPr>
        <w:t>7.10. Caso atendidas as condições para contratação, a habilitação do fornecedor será verificada por meio do SICAF, nos documentos por ele abrangidos.</w:t>
      </w:r>
    </w:p>
    <w:p>
      <w:pPr>
        <w:pStyle w:val="Nivel2"/>
        <w:numPr>
          <w:ilvl w:val="0"/>
          <w:numId w:val="0"/>
        </w:numPr>
        <w:spacing w:before="0" w:after="0"/>
        <w:ind w:left="716" w:hanging="0"/>
        <w:rPr>
          <w:rFonts w:ascii="Calibri" w:hAnsi="Calibri"/>
          <w:sz w:val="22"/>
          <w:szCs w:val="22"/>
        </w:rPr>
      </w:pPr>
      <w:r>
        <w:rPr>
          <w:rFonts w:ascii="Calibri" w:hAnsi="Calibri"/>
          <w:i w:val="false"/>
          <w:iCs w:val="false"/>
          <w:color w:val="auto"/>
          <w:sz w:val="22"/>
          <w:szCs w:val="22"/>
        </w:rPr>
        <w:t>7.11. É dever do fornecedor manter atualizada a respectiva documentação constante do SICAF, ou encaminhar, quando solicitado pela Administração, a respectiva documentação atualizada.</w:t>
      </w:r>
    </w:p>
    <w:p>
      <w:pPr>
        <w:pStyle w:val="Nivel2"/>
        <w:numPr>
          <w:ilvl w:val="0"/>
          <w:numId w:val="0"/>
        </w:numPr>
        <w:spacing w:before="0" w:after="0"/>
        <w:ind w:left="716" w:hanging="0"/>
        <w:rPr>
          <w:rFonts w:ascii="Calibri" w:hAnsi="Calibri"/>
          <w:sz w:val="22"/>
          <w:szCs w:val="22"/>
        </w:rPr>
      </w:pPr>
      <w:r>
        <w:rPr>
          <w:rFonts w:ascii="Calibri" w:hAnsi="Calibri"/>
          <w:i w:val="false"/>
          <w:iCs w:val="false"/>
          <w:color w:val="auto"/>
          <w:sz w:val="22"/>
          <w:szCs w:val="22"/>
        </w:rPr>
        <w:t>7.12. Não serão aceitos documentos de habilitação com indicação de CNPJ/CPF diferentes, salvo aqueles legalmente permitidos.</w:t>
      </w:r>
    </w:p>
    <w:p>
      <w:pPr>
        <w:pStyle w:val="Nivel2"/>
        <w:numPr>
          <w:ilvl w:val="0"/>
          <w:numId w:val="0"/>
        </w:numPr>
        <w:spacing w:before="0" w:after="0"/>
        <w:ind w:left="716" w:hanging="0"/>
        <w:rPr>
          <w:rFonts w:ascii="Calibri" w:hAnsi="Calibri"/>
          <w:sz w:val="22"/>
          <w:szCs w:val="22"/>
        </w:rPr>
      </w:pPr>
      <w:r>
        <w:rPr>
          <w:rFonts w:ascii="Calibri" w:hAnsi="Calibri"/>
          <w:i w:val="false"/>
          <w:iCs w:val="false"/>
          <w:color w:val="auto"/>
          <w:sz w:val="22"/>
          <w:szCs w:val="22"/>
        </w:rPr>
        <w:t>7.13. 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Nivel2"/>
        <w:numPr>
          <w:ilvl w:val="0"/>
          <w:numId w:val="0"/>
        </w:numPr>
        <w:spacing w:before="0" w:after="0"/>
        <w:ind w:left="716" w:hanging="0"/>
        <w:rPr>
          <w:rFonts w:ascii="Calibri" w:hAnsi="Calibri"/>
          <w:sz w:val="22"/>
          <w:szCs w:val="22"/>
        </w:rPr>
      </w:pPr>
      <w:r>
        <w:rPr>
          <w:rFonts w:ascii="Calibri" w:hAnsi="Calibri"/>
          <w:i w:val="false"/>
          <w:iCs w:val="false"/>
          <w:color w:val="auto"/>
          <w:sz w:val="22"/>
          <w:szCs w:val="22"/>
        </w:rPr>
        <w:t>7.14. Serão aceitos registros de CNPJ de fornecedor matriz e filial com diferenças de números de documentos pertinentes ao CND e ao CRF/FGTS, quando for comprovada a centralização do recolhimento dessas contribuições.</w:t>
      </w:r>
    </w:p>
    <w:p>
      <w:pPr>
        <w:pStyle w:val="Nivel2"/>
        <w:numPr>
          <w:ilvl w:val="0"/>
          <w:numId w:val="0"/>
        </w:numPr>
        <w:spacing w:before="0" w:after="0"/>
        <w:ind w:left="716" w:hanging="0"/>
        <w:rPr>
          <w:rFonts w:ascii="Calibri" w:hAnsi="Calibri"/>
          <w:sz w:val="22"/>
          <w:szCs w:val="22"/>
        </w:rPr>
      </w:pPr>
      <w:r>
        <w:rPr>
          <w:rFonts w:ascii="Calibri" w:hAnsi="Calibri"/>
          <w:i w:val="false"/>
          <w:iCs w:val="false"/>
          <w:color w:val="auto"/>
          <w:sz w:val="22"/>
          <w:szCs w:val="22"/>
        </w:rPr>
        <w:t>7.15. Para fins de contratação, deverá o fornecedor comprovar os seguintes requisitos de habilitação:</w:t>
      </w:r>
    </w:p>
    <w:p>
      <w:pPr>
        <w:pStyle w:val="Normal"/>
        <w:numPr>
          <w:ilvl w:val="0"/>
          <w:numId w:val="0"/>
        </w:numPr>
        <w:spacing w:lineRule="auto" w:line="276" w:before="120" w:after="120"/>
        <w:ind w:left="857" w:hanging="0"/>
        <w:jc w:val="both"/>
        <w:rPr>
          <w:rFonts w:ascii="Calibri" w:hAnsi="Calibri"/>
          <w:sz w:val="22"/>
          <w:szCs w:val="22"/>
        </w:rPr>
      </w:pPr>
      <w:r>
        <w:rPr>
          <w:rFonts w:cs="Arial"/>
          <w:b/>
          <w:i w:val="false"/>
          <w:iCs w:val="false"/>
          <w:color w:val="auto"/>
          <w:sz w:val="22"/>
          <w:szCs w:val="22"/>
        </w:rPr>
        <w:t>7.16. Habilitação Jurídica</w:t>
      </w:r>
      <w:r>
        <w:rPr>
          <w:rFonts w:cs="Arial"/>
          <w:b/>
          <w:bCs/>
          <w:i w:val="false"/>
          <w:iCs w:val="false"/>
          <w:color w:val="auto"/>
          <w:sz w:val="22"/>
          <w:szCs w:val="22"/>
        </w:rPr>
        <w:t xml:space="preserve">: </w:t>
      </w:r>
    </w:p>
    <w:p>
      <w:pPr>
        <w:pStyle w:val="Normal"/>
        <w:numPr>
          <w:ilvl w:val="0"/>
          <w:numId w:val="0"/>
        </w:numPr>
        <w:spacing w:lineRule="auto" w:line="276" w:before="120" w:after="120"/>
        <w:ind w:left="930" w:hanging="0"/>
        <w:jc w:val="both"/>
        <w:rPr>
          <w:rFonts w:ascii="Calibri" w:hAnsi="Calibri"/>
          <w:sz w:val="22"/>
          <w:szCs w:val="22"/>
        </w:rPr>
      </w:pPr>
      <w:r>
        <w:rPr>
          <w:rFonts w:cs="Arial"/>
          <w:b w:val="false"/>
          <w:bCs w:val="false"/>
          <w:i w:val="false"/>
          <w:iCs w:val="false"/>
          <w:color w:val="auto"/>
          <w:sz w:val="22"/>
          <w:szCs w:val="22"/>
        </w:rPr>
        <w:t>7.16.1. Sociedade cooperativa:</w:t>
      </w:r>
      <w:r>
        <w:rPr>
          <w:rFonts w:cs="Arial"/>
          <w:i w:val="false"/>
          <w:iCs w:val="false"/>
          <w:color w:val="auto"/>
          <w:sz w:val="22"/>
          <w:szCs w:val="22"/>
        </w:rPr>
        <w:t xml:space="preserve"> ata de fundação e estatuto social, com a ata da assembleia que o aprovou, devidamente arquivado na Junta Comercial ou inscrito no Registro Civil das Pessoas Jurídicas da respectiva sede, além do registro de que trata o art. 107 da Lei nº 5.764, de 1971.</w:t>
      </w:r>
    </w:p>
    <w:p>
      <w:pPr>
        <w:pStyle w:val="Normal"/>
        <w:numPr>
          <w:ilvl w:val="0"/>
          <w:numId w:val="0"/>
        </w:numPr>
        <w:spacing w:lineRule="auto" w:line="276" w:before="120" w:after="120"/>
        <w:ind w:left="930" w:hanging="0"/>
        <w:jc w:val="both"/>
        <w:rPr>
          <w:rFonts w:ascii="Calibri" w:hAnsi="Calibri"/>
          <w:sz w:val="22"/>
          <w:szCs w:val="22"/>
        </w:rPr>
      </w:pPr>
      <w:r>
        <w:rPr>
          <w:rFonts w:cs="Arial"/>
          <w:bCs/>
          <w:i w:val="false"/>
          <w:iCs w:val="false"/>
          <w:color w:val="auto"/>
          <w:sz w:val="22"/>
          <w:szCs w:val="22"/>
        </w:rPr>
        <w:t xml:space="preserve">7.17. Os </w:t>
      </w:r>
      <w:r>
        <w:rPr>
          <w:rFonts w:cs="Arial"/>
          <w:i w:val="false"/>
          <w:iCs w:val="false"/>
          <w:color w:val="auto"/>
          <w:sz w:val="22"/>
          <w:szCs w:val="22"/>
        </w:rPr>
        <w:t>documentos</w:t>
      </w:r>
      <w:r>
        <w:rPr>
          <w:rFonts w:cs="Arial"/>
          <w:bCs/>
          <w:i w:val="false"/>
          <w:iCs w:val="false"/>
          <w:color w:val="auto"/>
          <w:sz w:val="22"/>
          <w:szCs w:val="22"/>
        </w:rPr>
        <w:t xml:space="preserve"> apresentados deverão estar acompanhados de todas as alterações ou da consolidação respectiva.</w:t>
      </w:r>
    </w:p>
    <w:p>
      <w:pPr>
        <w:pStyle w:val="Normal"/>
        <w:numPr>
          <w:ilvl w:val="0"/>
          <w:numId w:val="0"/>
        </w:numPr>
        <w:spacing w:lineRule="auto" w:line="276" w:before="120" w:after="120"/>
        <w:ind w:left="857" w:hanging="0"/>
        <w:jc w:val="both"/>
        <w:rPr>
          <w:rFonts w:ascii="Calibri" w:hAnsi="Calibri"/>
          <w:sz w:val="22"/>
          <w:szCs w:val="22"/>
        </w:rPr>
      </w:pPr>
      <w:r>
        <w:rPr>
          <w:rFonts w:cs="Arial"/>
          <w:b/>
          <w:i w:val="false"/>
          <w:iCs w:val="false"/>
          <w:color w:val="auto"/>
          <w:sz w:val="22"/>
          <w:szCs w:val="22"/>
        </w:rPr>
        <w:t>7.18. Habilitações fiscal, social e trabalhista:</w:t>
      </w:r>
    </w:p>
    <w:p>
      <w:pPr>
        <w:pStyle w:val="Normal"/>
        <w:numPr>
          <w:ilvl w:val="0"/>
          <w:numId w:val="0"/>
        </w:numPr>
        <w:spacing w:lineRule="auto" w:line="276" w:before="120" w:after="120"/>
        <w:ind w:left="930" w:hanging="0"/>
        <w:jc w:val="both"/>
        <w:rPr>
          <w:rFonts w:ascii="Calibri" w:hAnsi="Calibri"/>
          <w:sz w:val="22"/>
          <w:szCs w:val="22"/>
        </w:rPr>
      </w:pPr>
      <w:r>
        <w:rPr>
          <w:rFonts w:cs="Arial"/>
          <w:i w:val="false"/>
          <w:iCs w:val="false"/>
          <w:color w:val="auto"/>
          <w:sz w:val="22"/>
          <w:szCs w:val="22"/>
        </w:rPr>
        <w:t>7.18.1. prova de inscrição no Cadastro Nacional da Pessoa Jurídica (CNPJ);</w:t>
      </w:r>
    </w:p>
    <w:p>
      <w:pPr>
        <w:pStyle w:val="Normal"/>
        <w:numPr>
          <w:ilvl w:val="0"/>
          <w:numId w:val="0"/>
        </w:numPr>
        <w:spacing w:lineRule="auto" w:line="276" w:before="120" w:after="120"/>
        <w:ind w:left="930" w:hanging="0"/>
        <w:jc w:val="both"/>
        <w:rPr>
          <w:rFonts w:ascii="Calibri" w:hAnsi="Calibri"/>
          <w:sz w:val="22"/>
          <w:szCs w:val="22"/>
        </w:rPr>
      </w:pPr>
      <w:r>
        <w:rPr>
          <w:rFonts w:cs="Arial"/>
          <w:i w:val="false"/>
          <w:iCs w:val="false"/>
          <w:color w:val="auto"/>
          <w:sz w:val="22"/>
          <w:szCs w:val="22"/>
        </w:rPr>
        <w:t>7.18.2.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0"/>
          <w:numId w:val="0"/>
        </w:numPr>
        <w:spacing w:lineRule="auto" w:line="276" w:before="120" w:after="120"/>
        <w:ind w:left="930" w:hanging="0"/>
        <w:jc w:val="both"/>
        <w:rPr>
          <w:rFonts w:ascii="Calibri" w:hAnsi="Calibri"/>
          <w:sz w:val="22"/>
          <w:szCs w:val="22"/>
        </w:rPr>
      </w:pPr>
      <w:r>
        <w:rPr>
          <w:rFonts w:cs="Arial"/>
          <w:i w:val="false"/>
          <w:iCs w:val="false"/>
          <w:color w:val="auto"/>
          <w:sz w:val="22"/>
          <w:szCs w:val="22"/>
        </w:rPr>
        <w:t>7.18.3. prova de regularidade com o Fundo de Garantia do Tempo de Serviço (FGTS);</w:t>
      </w:r>
    </w:p>
    <w:p>
      <w:pPr>
        <w:pStyle w:val="Normal"/>
        <w:numPr>
          <w:ilvl w:val="0"/>
          <w:numId w:val="0"/>
        </w:numPr>
        <w:spacing w:lineRule="auto" w:line="276" w:before="120" w:after="120"/>
        <w:ind w:left="930" w:hanging="0"/>
        <w:jc w:val="both"/>
        <w:rPr>
          <w:rFonts w:ascii="Calibri" w:hAnsi="Calibri"/>
          <w:sz w:val="22"/>
          <w:szCs w:val="22"/>
        </w:rPr>
      </w:pPr>
      <w:r>
        <w:rPr>
          <w:rFonts w:cs="Arial"/>
          <w:i w:val="false"/>
          <w:iCs w:val="false"/>
          <w:color w:val="auto"/>
          <w:sz w:val="22"/>
          <w:szCs w:val="22"/>
        </w:rPr>
        <w:t>7.18.4. declaração de que não emprega menor de 18 anos em trabalho noturno, perigoso ou insalubre e não emprega menor de 16 anos, salvo menor, a partir de 14 anos, na condição de aprendiz, nos termos do artigo 7°, XXXIII, da Constituição;</w:t>
      </w:r>
    </w:p>
    <w:p>
      <w:pPr>
        <w:pStyle w:val="Normal"/>
        <w:numPr>
          <w:ilvl w:val="0"/>
          <w:numId w:val="0"/>
        </w:numPr>
        <w:spacing w:lineRule="auto" w:line="276" w:before="120" w:after="120"/>
        <w:ind w:left="930" w:hanging="0"/>
        <w:jc w:val="both"/>
        <w:rPr>
          <w:rFonts w:ascii="Calibri" w:hAnsi="Calibri"/>
          <w:sz w:val="22"/>
          <w:szCs w:val="22"/>
        </w:rPr>
      </w:pPr>
      <w:r>
        <w:rPr>
          <w:rFonts w:cs="Arial"/>
          <w:i w:val="false"/>
          <w:iCs w:val="false"/>
          <w:color w:val="auto"/>
          <w:sz w:val="22"/>
          <w:szCs w:val="22"/>
        </w:rPr>
        <w:t>7.18.5.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0"/>
          <w:numId w:val="0"/>
        </w:numPr>
        <w:spacing w:lineRule="auto" w:line="276" w:before="120" w:after="120"/>
        <w:ind w:left="930" w:hanging="0"/>
        <w:jc w:val="both"/>
        <w:rPr>
          <w:rFonts w:ascii="Calibri" w:hAnsi="Calibri"/>
          <w:sz w:val="22"/>
          <w:szCs w:val="22"/>
        </w:rPr>
      </w:pPr>
      <w:r>
        <w:rPr>
          <w:rFonts w:cs="Arial"/>
          <w:i w:val="false"/>
          <w:iCs w:val="false"/>
          <w:color w:val="auto"/>
          <w:sz w:val="22"/>
          <w:szCs w:val="22"/>
        </w:rPr>
        <w:t xml:space="preserve">7.18.6. prova de inscrição no cadastro de contribuintes estadual, se houver, relativo ao domicílio ou sede do fornecedor, pertinente ao seu ramo de atividade e compatível com o objeto contratual; </w:t>
      </w:r>
    </w:p>
    <w:p>
      <w:pPr>
        <w:pStyle w:val="Normal"/>
        <w:numPr>
          <w:ilvl w:val="0"/>
          <w:numId w:val="0"/>
        </w:numPr>
        <w:spacing w:lineRule="auto" w:line="276" w:before="120" w:after="120"/>
        <w:ind w:left="857" w:hanging="0"/>
        <w:jc w:val="both"/>
        <w:rPr>
          <w:rFonts w:ascii="Calibri" w:hAnsi="Calibri"/>
          <w:sz w:val="22"/>
          <w:szCs w:val="22"/>
        </w:rPr>
      </w:pPr>
      <w:r>
        <w:rPr>
          <w:rFonts w:cs="Arial"/>
          <w:i w:val="false"/>
          <w:iCs w:val="false"/>
          <w:color w:val="auto"/>
          <w:sz w:val="22"/>
          <w:szCs w:val="22"/>
        </w:rPr>
        <w:t>7.19. Será exigida do fornecedor, ainda, a seguinte documentação complementar:</w:t>
      </w:r>
    </w:p>
    <w:p>
      <w:pPr>
        <w:pStyle w:val="Normal"/>
        <w:numPr>
          <w:ilvl w:val="0"/>
          <w:numId w:val="0"/>
        </w:numPr>
        <w:spacing w:lineRule="auto" w:line="276" w:before="120" w:after="120"/>
        <w:ind w:left="2348" w:hanging="0"/>
        <w:jc w:val="both"/>
        <w:rPr>
          <w:rFonts w:ascii="Calibri" w:hAnsi="Calibri"/>
          <w:sz w:val="22"/>
          <w:szCs w:val="22"/>
        </w:rPr>
      </w:pPr>
      <w:r>
        <w:rPr>
          <w:rFonts w:cs="Arial"/>
          <w:i w:val="false"/>
          <w:iCs w:val="false"/>
          <w:color w:val="auto"/>
          <w:sz w:val="22"/>
          <w:szCs w:val="22"/>
        </w:rPr>
        <w:t>7.19.1. 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pPr>
        <w:pStyle w:val="Normal"/>
        <w:numPr>
          <w:ilvl w:val="0"/>
          <w:numId w:val="0"/>
        </w:numPr>
        <w:spacing w:lineRule="auto" w:line="276" w:before="120" w:after="120"/>
        <w:ind w:left="2348" w:hanging="0"/>
        <w:jc w:val="both"/>
        <w:rPr>
          <w:rFonts w:ascii="Calibri" w:hAnsi="Calibri"/>
          <w:sz w:val="22"/>
          <w:szCs w:val="22"/>
        </w:rPr>
      </w:pPr>
      <w:r>
        <w:rPr>
          <w:rFonts w:cs="Arial"/>
          <w:i w:val="false"/>
          <w:iCs w:val="false"/>
          <w:color w:val="auto"/>
          <w:sz w:val="22"/>
          <w:szCs w:val="22"/>
        </w:rPr>
        <w:t>7.19.2. A declaração de regularidade de situação do contribuinte individual – DRSCI, para cada um dos cooperados indicados;</w:t>
      </w:r>
    </w:p>
    <w:p>
      <w:pPr>
        <w:pStyle w:val="Normal"/>
        <w:numPr>
          <w:ilvl w:val="0"/>
          <w:numId w:val="0"/>
        </w:numPr>
        <w:spacing w:lineRule="auto" w:line="276" w:before="120" w:after="120"/>
        <w:ind w:left="2348" w:hanging="0"/>
        <w:jc w:val="both"/>
        <w:rPr>
          <w:rFonts w:ascii="Calibri" w:hAnsi="Calibri"/>
          <w:sz w:val="22"/>
          <w:szCs w:val="22"/>
        </w:rPr>
      </w:pPr>
      <w:r>
        <w:rPr>
          <w:rFonts w:cs="Arial"/>
          <w:i w:val="false"/>
          <w:iCs w:val="false"/>
          <w:color w:val="auto"/>
          <w:sz w:val="22"/>
          <w:szCs w:val="22"/>
        </w:rPr>
        <w:t xml:space="preserve">7.19.3. A comprovação do capital social proporcional ao número de cooperados necessários à prestação do serviço; </w:t>
      </w:r>
    </w:p>
    <w:p>
      <w:pPr>
        <w:pStyle w:val="Normal"/>
        <w:numPr>
          <w:ilvl w:val="0"/>
          <w:numId w:val="0"/>
        </w:numPr>
        <w:spacing w:lineRule="auto" w:line="276" w:before="120" w:after="120"/>
        <w:ind w:left="2348" w:hanging="0"/>
        <w:jc w:val="both"/>
        <w:rPr>
          <w:rFonts w:ascii="Calibri" w:hAnsi="Calibri"/>
          <w:sz w:val="22"/>
          <w:szCs w:val="22"/>
        </w:rPr>
      </w:pPr>
      <w:r>
        <w:rPr>
          <w:rFonts w:cs="Arial"/>
          <w:i w:val="false"/>
          <w:iCs w:val="false"/>
          <w:color w:val="auto"/>
          <w:sz w:val="22"/>
          <w:szCs w:val="22"/>
        </w:rPr>
        <w:t>7.19.4. O registro previsto na Lei n. 5.764/71, art. 107;</w:t>
      </w:r>
    </w:p>
    <w:p>
      <w:pPr>
        <w:pStyle w:val="Normal"/>
        <w:numPr>
          <w:ilvl w:val="0"/>
          <w:numId w:val="0"/>
        </w:numPr>
        <w:spacing w:lineRule="auto" w:line="276" w:before="120" w:after="120"/>
        <w:ind w:left="2348" w:hanging="0"/>
        <w:jc w:val="both"/>
        <w:rPr>
          <w:rFonts w:ascii="Calibri" w:hAnsi="Calibri"/>
          <w:sz w:val="22"/>
          <w:szCs w:val="22"/>
        </w:rPr>
      </w:pPr>
      <w:r>
        <w:rPr>
          <w:rFonts w:cs="Arial"/>
          <w:i w:val="false"/>
          <w:iCs w:val="false"/>
          <w:color w:val="auto"/>
          <w:sz w:val="22"/>
          <w:szCs w:val="22"/>
        </w:rPr>
        <w:t xml:space="preserve">7.19.5. A comprovação de integração das respectivas quotas-partes por parte dos cooperados que executarão o contrato; </w:t>
      </w:r>
    </w:p>
    <w:p>
      <w:pPr>
        <w:pStyle w:val="Normal"/>
        <w:numPr>
          <w:ilvl w:val="0"/>
          <w:numId w:val="0"/>
        </w:numPr>
        <w:spacing w:lineRule="auto" w:line="276" w:before="120" w:after="120"/>
        <w:ind w:left="2348" w:hanging="0"/>
        <w:jc w:val="both"/>
        <w:rPr>
          <w:rFonts w:ascii="Calibri" w:hAnsi="Calibri"/>
          <w:sz w:val="22"/>
          <w:szCs w:val="22"/>
        </w:rPr>
      </w:pPr>
      <w:r>
        <w:rPr>
          <w:rFonts w:cs="Arial"/>
          <w:i w:val="false"/>
          <w:iCs w:val="false"/>
          <w:color w:val="auto"/>
          <w:sz w:val="22"/>
          <w:szCs w:val="22"/>
        </w:rPr>
        <w:t>7.19.6.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contratação;</w:t>
      </w:r>
    </w:p>
    <w:p>
      <w:pPr>
        <w:pStyle w:val="Normal"/>
        <w:numPr>
          <w:ilvl w:val="0"/>
          <w:numId w:val="0"/>
        </w:numPr>
        <w:spacing w:lineRule="auto" w:line="276" w:before="120" w:after="120"/>
        <w:ind w:left="2348" w:hanging="0"/>
        <w:jc w:val="both"/>
        <w:rPr>
          <w:rFonts w:ascii="Calibri" w:hAnsi="Calibri"/>
          <w:sz w:val="22"/>
          <w:szCs w:val="22"/>
        </w:rPr>
      </w:pPr>
      <w:r>
        <w:rPr>
          <w:rFonts w:cs="Arial"/>
          <w:i w:val="false"/>
          <w:iCs w:val="false"/>
          <w:color w:val="auto"/>
          <w:sz w:val="22"/>
          <w:szCs w:val="22"/>
        </w:rPr>
        <w:t>7.19.7. A última auditoria contábil-financeira da cooperativa, conforme dispõe o art. 112 da Lei n. 5.764/71 ou uma declaração, sob as penas da lei, de que tal auditoria não foi exigida pelo órgão fiscalizador.</w:t>
      </w:r>
    </w:p>
    <w:p>
      <w:pPr>
        <w:pStyle w:val="Normal"/>
        <w:numPr>
          <w:ilvl w:val="0"/>
          <w:numId w:val="0"/>
        </w:numPr>
        <w:spacing w:lineRule="auto" w:line="276" w:before="120" w:after="120"/>
        <w:ind w:left="2348" w:hanging="0"/>
        <w:jc w:val="both"/>
        <w:rPr>
          <w:rFonts w:ascii="Calibri" w:hAnsi="Calibri" w:cs="Arial"/>
          <w:i/>
          <w:i/>
          <w:iCs/>
          <w:color w:val="auto"/>
          <w:sz w:val="22"/>
          <w:szCs w:val="22"/>
          <w:highlight w:val="green"/>
        </w:rPr>
      </w:pPr>
      <w:r>
        <w:rPr>
          <w:rFonts w:cs="Arial"/>
          <w:i/>
          <w:iCs/>
          <w:color w:val="auto"/>
          <w:sz w:val="22"/>
          <w:szCs w:val="22"/>
          <w:highlight w:val="green"/>
        </w:rPr>
      </w:r>
    </w:p>
    <w:p>
      <w:pPr>
        <w:pStyle w:val="Nivel1"/>
        <w:numPr>
          <w:ilvl w:val="0"/>
          <w:numId w:val="1"/>
        </w:numPr>
        <w:spacing w:before="0" w:after="0"/>
        <w:rPr>
          <w:rFonts w:ascii="Calibri" w:hAnsi="Calibri"/>
          <w:sz w:val="22"/>
          <w:szCs w:val="22"/>
        </w:rPr>
      </w:pPr>
      <w:r>
        <w:rPr>
          <w:rFonts w:ascii="Calibri" w:hAnsi="Calibri"/>
          <w:sz w:val="22"/>
          <w:szCs w:val="22"/>
        </w:rPr>
        <w:t xml:space="preserve">ADEQUAÇÃO ORÇAMENTÁRIA </w:t>
      </w:r>
    </w:p>
    <w:p>
      <w:pPr>
        <w:pStyle w:val="ListParagraph"/>
        <w:widowControl/>
        <w:numPr>
          <w:ilvl w:val="0"/>
          <w:numId w:val="0"/>
        </w:numPr>
        <w:suppressAutoHyphens w:val="true"/>
        <w:bidi w:val="0"/>
        <w:spacing w:lineRule="auto" w:line="276" w:before="0" w:after="0"/>
        <w:ind w:left="0" w:right="0" w:hanging="0"/>
        <w:contextualSpacing/>
        <w:jc w:val="both"/>
        <w:rPr>
          <w:rFonts w:ascii="Calibri" w:hAnsi="Calibri"/>
          <w:sz w:val="22"/>
          <w:szCs w:val="22"/>
        </w:rPr>
      </w:pPr>
      <w:r>
        <w:rPr>
          <w:rFonts w:cs="Arial"/>
          <w:sz w:val="22"/>
          <w:szCs w:val="22"/>
        </w:rPr>
        <w:t>8.1. As despesas decorrentes da presente contratação correrão à conta de recursos específicos consignados no Orçamento Geral da União.</w:t>
      </w:r>
    </w:p>
    <w:p>
      <w:pPr>
        <w:pStyle w:val="ListParagraph"/>
        <w:spacing w:lineRule="auto" w:line="276" w:before="0" w:after="0"/>
        <w:ind w:left="716" w:hanging="0"/>
        <w:contextualSpacing/>
        <w:jc w:val="both"/>
        <w:rPr>
          <w:rFonts w:ascii="Calibri" w:hAnsi="Calibri" w:cs="Arial"/>
          <w:i/>
          <w:i/>
          <w:iCs/>
          <w:color w:val="FF0000"/>
          <w:sz w:val="22"/>
          <w:szCs w:val="22"/>
        </w:rPr>
      </w:pPr>
      <w:r>
        <w:rPr>
          <w:rFonts w:cs="Arial"/>
          <w:i/>
          <w:iCs/>
          <w:color w:val="FF0000"/>
          <w:sz w:val="22"/>
          <w:szCs w:val="22"/>
        </w:rPr>
      </w:r>
    </w:p>
    <w:p>
      <w:pPr>
        <w:pStyle w:val="ListParagraph"/>
        <w:widowControl/>
        <w:numPr>
          <w:ilvl w:val="0"/>
          <w:numId w:val="0"/>
        </w:numPr>
        <w:suppressAutoHyphens w:val="true"/>
        <w:bidi w:val="0"/>
        <w:spacing w:lineRule="auto" w:line="276" w:before="0" w:after="0"/>
        <w:ind w:left="0" w:right="0" w:hanging="0"/>
        <w:contextualSpacing/>
        <w:jc w:val="both"/>
        <w:rPr>
          <w:rFonts w:ascii="Calibri" w:hAnsi="Calibri"/>
          <w:sz w:val="22"/>
          <w:szCs w:val="22"/>
        </w:rPr>
      </w:pPr>
      <w:r>
        <w:rPr>
          <w:rFonts w:cs="Arial"/>
          <w:iCs/>
          <w:sz w:val="22"/>
          <w:szCs w:val="22"/>
        </w:rPr>
        <w:t>8.1.1.A contratação será atendida pela seguinte dotação:</w:t>
      </w:r>
    </w:p>
    <w:p>
      <w:pPr>
        <w:pStyle w:val="Normal"/>
        <w:spacing w:lineRule="auto" w:line="276" w:before="0" w:after="0"/>
        <w:ind w:left="1133" w:firstLine="283"/>
        <w:jc w:val="both"/>
        <w:rPr>
          <w:rFonts w:ascii="Calibri" w:hAnsi="Calibri" w:cs="Arial"/>
          <w:iCs/>
          <w:sz w:val="22"/>
          <w:szCs w:val="22"/>
        </w:rPr>
      </w:pPr>
      <w:r>
        <w:rPr>
          <w:rFonts w:cs="Arial"/>
          <w:iCs/>
          <w:sz w:val="22"/>
          <w:szCs w:val="22"/>
        </w:rPr>
      </w:r>
    </w:p>
    <w:p>
      <w:pPr>
        <w:pStyle w:val="Normal"/>
        <w:spacing w:lineRule="auto" w:line="276" w:before="0" w:after="0"/>
        <w:ind w:left="1133" w:firstLine="283"/>
        <w:jc w:val="both"/>
        <w:rPr>
          <w:rFonts w:ascii="Calibri" w:hAnsi="Calibri"/>
          <w:sz w:val="22"/>
          <w:szCs w:val="22"/>
        </w:rPr>
      </w:pPr>
      <w:r>
        <w:rPr>
          <w:rFonts w:cs="Arial"/>
          <w:i w:val="false"/>
          <w:iCs w:val="false"/>
          <w:color w:val="auto"/>
          <w:sz w:val="22"/>
          <w:szCs w:val="22"/>
        </w:rPr>
        <w:t>Gestão/Unidade: 00001/783601;</w:t>
      </w:r>
    </w:p>
    <w:p>
      <w:pPr>
        <w:pStyle w:val="Normal"/>
        <w:spacing w:lineRule="auto" w:line="276" w:before="0" w:after="0"/>
        <w:ind w:left="850" w:firstLine="566"/>
        <w:jc w:val="both"/>
        <w:rPr>
          <w:rFonts w:ascii="Calibri" w:hAnsi="Calibri"/>
          <w:sz w:val="22"/>
          <w:szCs w:val="22"/>
        </w:rPr>
      </w:pPr>
      <w:r>
        <w:rPr>
          <w:rFonts w:cs="Arial"/>
          <w:i w:val="false"/>
          <w:iCs w:val="false"/>
          <w:color w:val="auto"/>
          <w:sz w:val="22"/>
          <w:szCs w:val="22"/>
        </w:rPr>
        <w:t>Fonte de Recursos: 1000000000;</w:t>
      </w:r>
    </w:p>
    <w:p>
      <w:pPr>
        <w:pStyle w:val="Normal"/>
        <w:spacing w:lineRule="auto" w:line="276" w:before="0" w:after="0"/>
        <w:ind w:left="1133" w:firstLine="283"/>
        <w:jc w:val="both"/>
        <w:rPr>
          <w:rFonts w:ascii="Calibri" w:hAnsi="Calibri"/>
          <w:sz w:val="22"/>
          <w:szCs w:val="22"/>
        </w:rPr>
      </w:pPr>
      <w:r>
        <w:rPr>
          <w:rFonts w:cs="Arial"/>
          <w:i w:val="false"/>
          <w:iCs w:val="false"/>
          <w:color w:val="auto"/>
          <w:sz w:val="22"/>
          <w:szCs w:val="22"/>
        </w:rPr>
        <w:t>Programa de Trabalho: 174713;</w:t>
      </w:r>
    </w:p>
    <w:p>
      <w:pPr>
        <w:pStyle w:val="Normal"/>
        <w:spacing w:lineRule="auto" w:line="276" w:before="0" w:after="0"/>
        <w:ind w:left="850" w:firstLine="566"/>
        <w:jc w:val="both"/>
        <w:rPr>
          <w:rFonts w:ascii="Calibri" w:hAnsi="Calibri"/>
          <w:sz w:val="22"/>
          <w:szCs w:val="22"/>
        </w:rPr>
      </w:pPr>
      <w:r>
        <w:rPr>
          <w:rFonts w:cs="Arial"/>
          <w:i w:val="false"/>
          <w:iCs w:val="false"/>
          <w:color w:val="auto"/>
          <w:sz w:val="22"/>
          <w:szCs w:val="22"/>
        </w:rPr>
        <w:t>Elemento de Despesa: 339030;</w:t>
      </w:r>
    </w:p>
    <w:p>
      <w:pPr>
        <w:pStyle w:val="Normal"/>
        <w:spacing w:lineRule="auto" w:line="276" w:before="0" w:after="0"/>
        <w:ind w:left="850" w:firstLine="566"/>
        <w:jc w:val="both"/>
        <w:rPr>
          <w:rFonts w:ascii="Calibri" w:hAnsi="Calibri"/>
          <w:sz w:val="22"/>
          <w:szCs w:val="22"/>
        </w:rPr>
      </w:pPr>
      <w:r>
        <w:rPr>
          <w:rFonts w:cs="Arial"/>
          <w:i w:val="false"/>
          <w:iCs w:val="false"/>
          <w:color w:val="auto"/>
          <w:sz w:val="22"/>
          <w:szCs w:val="22"/>
        </w:rPr>
        <w:t>Plano Interno: B44101002DD;</w:t>
      </w:r>
    </w:p>
    <w:p>
      <w:pPr>
        <w:pStyle w:val="Normal"/>
        <w:spacing w:lineRule="auto" w:line="276" w:before="0" w:after="0"/>
        <w:jc w:val="both"/>
        <w:rPr>
          <w:rFonts w:ascii="Calibri" w:hAnsi="Calibri" w:cs="Arial"/>
          <w:bCs/>
          <w:i w:val="false"/>
          <w:i w:val="false"/>
          <w:iCs w:val="false"/>
          <w:color w:val="auto"/>
          <w:sz w:val="22"/>
          <w:szCs w:val="22"/>
        </w:rPr>
      </w:pPr>
      <w:r>
        <w:rPr>
          <w:rFonts w:cs="Arial"/>
          <w:bCs/>
          <w:i w:val="false"/>
          <w:iCs w:val="false"/>
          <w:color w:val="auto"/>
          <w:sz w:val="22"/>
          <w:szCs w:val="22"/>
        </w:rPr>
      </w:r>
    </w:p>
    <w:p>
      <w:pPr>
        <w:pStyle w:val="ListParagraph"/>
        <w:numPr>
          <w:ilvl w:val="1"/>
          <w:numId w:val="1"/>
        </w:numPr>
        <w:spacing w:lineRule="auto" w:line="276" w:before="0" w:after="0"/>
        <w:contextualSpacing/>
        <w:jc w:val="both"/>
        <w:rPr>
          <w:rFonts w:ascii="Calibri" w:hAnsi="Calibri"/>
          <w:sz w:val="22"/>
          <w:szCs w:val="22"/>
        </w:rPr>
      </w:pPr>
      <w:r>
        <w:rPr>
          <w:rFonts w:cs="Arial"/>
          <w:i w:val="false"/>
          <w:iCs w:val="false"/>
          <w:color w:val="auto"/>
          <w:sz w:val="22"/>
          <w:szCs w:val="22"/>
        </w:rPr>
        <w:t>A dotação relativa aos exercícios financeiros subsequentes será indicada após aprovação da Lei Orçamentária respectiva e liberação dos créditos correspondentes, mediante apostilamento.</w:t>
      </w:r>
    </w:p>
    <w:p>
      <w:pPr>
        <w:pStyle w:val="ListParagraph"/>
        <w:numPr>
          <w:ilvl w:val="0"/>
          <w:numId w:val="0"/>
        </w:numPr>
        <w:spacing w:lineRule="auto" w:line="276" w:before="0" w:after="0"/>
        <w:ind w:left="1152" w:hanging="0"/>
        <w:contextualSpacing/>
        <w:jc w:val="both"/>
        <w:rPr>
          <w:rFonts w:ascii="Calibri" w:hAnsi="Calibri" w:cs="Arial"/>
          <w:i w:val="false"/>
          <w:i w:val="false"/>
          <w:iCs w:val="false"/>
          <w:color w:val="auto"/>
          <w:sz w:val="22"/>
          <w:szCs w:val="22"/>
        </w:rPr>
      </w:pPr>
      <w:r>
        <w:rPr>
          <w:rFonts w:cs="Arial"/>
          <w:i w:val="false"/>
          <w:iCs w:val="false"/>
          <w:color w:val="auto"/>
          <w:sz w:val="22"/>
          <w:szCs w:val="22"/>
        </w:rPr>
      </w:r>
    </w:p>
    <w:p>
      <w:pPr>
        <w:pStyle w:val="Normal"/>
        <w:spacing w:lineRule="auto" w:line="276" w:before="119" w:after="119"/>
        <w:jc w:val="both"/>
        <w:rPr>
          <w:rFonts w:ascii="Calibri" w:hAnsi="Calibri" w:cs="Arial"/>
          <w:sz w:val="22"/>
          <w:szCs w:val="22"/>
        </w:rPr>
      </w:pPr>
      <w:r>
        <w:rPr>
          <w:rFonts w:cs="Arial"/>
          <w:sz w:val="22"/>
          <w:szCs w:val="22"/>
        </w:rPr>
      </w:r>
    </w:p>
    <w:p>
      <w:pPr>
        <w:pStyle w:val="Corpodotexto"/>
        <w:widowControl w:val="false"/>
        <w:tabs>
          <w:tab w:val="clear" w:pos="708"/>
          <w:tab w:val="left" w:pos="482" w:leader="none"/>
          <w:tab w:val="left" w:pos="7810" w:leader="none"/>
        </w:tabs>
        <w:bidi w:val="0"/>
        <w:spacing w:lineRule="auto" w:line="276" w:before="119" w:after="119"/>
        <w:ind w:left="4535" w:right="0" w:hanging="0"/>
        <w:jc w:val="both"/>
        <w:rPr>
          <w:rFonts w:ascii="Calibri" w:hAnsi="Calibri"/>
          <w:sz w:val="22"/>
          <w:szCs w:val="22"/>
        </w:rPr>
      </w:pPr>
      <w:r>
        <w:rPr>
          <w:sz w:val="22"/>
          <w:szCs w:val="22"/>
          <w:lang w:val="pt-BR"/>
        </w:rPr>
        <w:t xml:space="preserve">                        </w:t>
      </w:r>
      <w:r>
        <w:rPr>
          <w:sz w:val="22"/>
          <w:szCs w:val="22"/>
          <w:lang w:val="pt-BR"/>
        </w:rPr>
        <w:t xml:space="preserve">Fortaleza, CE, ____ de </w:t>
      </w:r>
      <w:r>
        <w:rPr>
          <w:sz w:val="22"/>
          <w:szCs w:val="22"/>
          <w:lang w:val="pt-BR"/>
        </w:rPr>
        <w:t>maio</w:t>
      </w:r>
      <w:r>
        <w:rPr>
          <w:sz w:val="22"/>
          <w:szCs w:val="22"/>
          <w:lang w:val="pt-BR"/>
        </w:rPr>
        <w:t xml:space="preserve"> de 202</w:t>
      </w:r>
      <w:r>
        <w:rPr>
          <w:sz w:val="22"/>
          <w:szCs w:val="22"/>
          <w:lang w:val="pt-BR"/>
        </w:rPr>
        <w:t>4</w:t>
      </w:r>
      <w:r>
        <w:rPr>
          <w:sz w:val="22"/>
          <w:szCs w:val="22"/>
          <w:lang w:val="pt-BR"/>
        </w:rPr>
        <w:t>.</w:t>
      </w:r>
    </w:p>
    <w:p>
      <w:pPr>
        <w:pStyle w:val="Corpodotexto"/>
        <w:tabs>
          <w:tab w:val="clear" w:pos="708"/>
          <w:tab w:val="left" w:pos="482" w:leader="none"/>
        </w:tabs>
        <w:spacing w:lineRule="auto" w:line="276" w:before="119" w:after="119"/>
        <w:ind w:left="0" w:right="101" w:hanging="481"/>
        <w:jc w:val="both"/>
        <w:rPr>
          <w:rFonts w:ascii="Calibri" w:hAnsi="Calibri" w:cs="Times New Roman"/>
          <w:sz w:val="22"/>
          <w:szCs w:val="22"/>
        </w:rPr>
      </w:pPr>
      <w:r>
        <w:rPr>
          <w:rFonts w:cs="Times New Roman"/>
          <w:sz w:val="22"/>
          <w:szCs w:val="22"/>
        </w:rPr>
      </w:r>
    </w:p>
    <w:p>
      <w:pPr>
        <w:pStyle w:val="Normal"/>
        <w:numPr>
          <w:ilvl w:val="0"/>
          <w:numId w:val="2"/>
        </w:numPr>
        <w:spacing w:lineRule="auto" w:line="240" w:before="0" w:after="0"/>
        <w:jc w:val="center"/>
        <w:rPr/>
      </w:pPr>
      <w:r>
        <w:rPr>
          <w:rStyle w:val="Fontepargpadro"/>
          <w:rFonts w:cs="Arial"/>
          <w:color w:val="auto"/>
          <w:sz w:val="22"/>
          <w:szCs w:val="22"/>
        </w:rPr>
        <w:t>LUIZA DÉBORA SALDANHA MARQUES</w:t>
      </w:r>
    </w:p>
    <w:p>
      <w:pPr>
        <w:pStyle w:val="Normal"/>
        <w:numPr>
          <w:ilvl w:val="0"/>
          <w:numId w:val="2"/>
        </w:numPr>
        <w:spacing w:lineRule="auto" w:line="240" w:before="0" w:after="0"/>
        <w:jc w:val="center"/>
        <w:rPr/>
      </w:pPr>
      <w:r>
        <w:rPr>
          <w:rStyle w:val="Fontepargpadro"/>
          <w:rFonts w:cs="Arial"/>
          <w:color w:val="auto"/>
          <w:sz w:val="22"/>
          <w:szCs w:val="22"/>
        </w:rPr>
        <w:t>Capitão-Tenente</w:t>
      </w:r>
      <w:r>
        <w:rPr>
          <w:rFonts w:cs="Arial"/>
          <w:color w:val="auto"/>
          <w:sz w:val="22"/>
          <w:szCs w:val="22"/>
        </w:rPr>
        <w:t xml:space="preserve"> (RM2-T)</w:t>
      </w:r>
    </w:p>
    <w:p>
      <w:pPr>
        <w:pStyle w:val="Normal"/>
        <w:numPr>
          <w:ilvl w:val="0"/>
          <w:numId w:val="2"/>
        </w:numPr>
        <w:spacing w:lineRule="auto" w:line="240" w:before="0" w:after="0"/>
        <w:jc w:val="center"/>
        <w:rPr>
          <w:rFonts w:ascii="Calibri" w:hAnsi="Calibri"/>
          <w:sz w:val="22"/>
          <w:szCs w:val="22"/>
        </w:rPr>
      </w:pPr>
      <w:r>
        <w:rPr>
          <w:rFonts w:cs="Arial"/>
          <w:color w:val="auto"/>
          <w:sz w:val="22"/>
          <w:szCs w:val="22"/>
        </w:rPr>
        <w:t>Encarregada da Divisão de Abastecimento</w:t>
      </w:r>
    </w:p>
    <w:p>
      <w:pPr>
        <w:pStyle w:val="Normal"/>
        <w:tabs>
          <w:tab w:val="clear" w:pos="708"/>
          <w:tab w:val="left" w:pos="482" w:leader="none"/>
        </w:tabs>
        <w:spacing w:lineRule="auto" w:line="276" w:before="119" w:after="119"/>
        <w:ind w:left="0" w:right="101" w:hanging="481"/>
        <w:jc w:val="center"/>
        <w:rPr>
          <w:rFonts w:ascii="Calibri" w:hAnsi="Calibri" w:cs="Arial"/>
          <w:sz w:val="22"/>
          <w:szCs w:val="22"/>
        </w:rPr>
      </w:pPr>
      <w:r>
        <w:rPr>
          <w:rFonts w:cs="Arial"/>
          <w:sz w:val="22"/>
          <w:szCs w:val="22"/>
        </w:rPr>
      </w:r>
    </w:p>
    <w:p>
      <w:pPr>
        <w:pStyle w:val="Normal"/>
        <w:tabs>
          <w:tab w:val="clear" w:pos="708"/>
          <w:tab w:val="left" w:pos="482" w:leader="none"/>
        </w:tabs>
        <w:spacing w:lineRule="auto" w:line="276" w:before="119" w:after="119"/>
        <w:ind w:left="0" w:right="101" w:hanging="0"/>
        <w:jc w:val="both"/>
        <w:rPr>
          <w:rFonts w:ascii="Calibri" w:hAnsi="Calibri"/>
          <w:sz w:val="22"/>
          <w:szCs w:val="22"/>
        </w:rPr>
      </w:pPr>
      <w:r>
        <w:rPr>
          <w:rFonts w:cs="Times New Roman"/>
          <w:b/>
          <w:sz w:val="22"/>
          <w:szCs w:val="22"/>
        </w:rPr>
        <w:t>APROVO:</w:t>
      </w:r>
    </w:p>
    <w:p>
      <w:pPr>
        <w:pStyle w:val="Normal"/>
        <w:tabs>
          <w:tab w:val="clear" w:pos="708"/>
          <w:tab w:val="left" w:pos="-4395" w:leader="none"/>
        </w:tabs>
        <w:spacing w:lineRule="auto" w:line="276" w:before="119" w:after="119"/>
        <w:ind w:left="0" w:right="101" w:firstLine="567"/>
        <w:jc w:val="both"/>
        <w:rPr>
          <w:rFonts w:ascii="Calibri" w:hAnsi="Calibri"/>
          <w:sz w:val="22"/>
          <w:szCs w:val="22"/>
        </w:rPr>
      </w:pPr>
      <w:r>
        <w:rPr>
          <w:rFonts w:cs="Times New Roman"/>
          <w:sz w:val="22"/>
          <w:szCs w:val="22"/>
        </w:rPr>
        <w:t>O presente Termo de Referência nos termos do disposto no art. 9º, §1º do Decreto nº 450/2005, cuja finalidade é subsidiar os licitantes de todas as informações necessárias à participação no procedimento licitatório para a</w:t>
      </w:r>
      <w:r>
        <w:rPr>
          <w:rFonts w:cs="Times New Roman"/>
          <w:color w:val="000000"/>
          <w:sz w:val="22"/>
          <w:szCs w:val="22"/>
        </w:rPr>
        <w:t>quisição de alimentos de agricultores familiares e equiparados, por meio de Chamada Pública na modalidade de Compra Institucional do Programa de Aquisição de Alimentos</w:t>
      </w:r>
      <w:r>
        <w:rPr>
          <w:rFonts w:cs="Times New Roman"/>
          <w:sz w:val="22"/>
          <w:szCs w:val="22"/>
        </w:rPr>
        <w:t>, por um período de 12 (doze) meses, a partir da data de assinatura do contrato, estando presentes os elementos necessários à identificação do objeto, seu custo e todos os critérios para participação de forma clara e concisa.</w:t>
      </w:r>
    </w:p>
    <w:p>
      <w:pPr>
        <w:pStyle w:val="Normal"/>
        <w:tabs>
          <w:tab w:val="clear" w:pos="708"/>
          <w:tab w:val="left" w:pos="-4395" w:leader="none"/>
        </w:tabs>
        <w:spacing w:lineRule="auto" w:line="276" w:before="119" w:after="119"/>
        <w:ind w:left="0" w:right="101" w:hanging="0"/>
        <w:jc w:val="both"/>
        <w:rPr>
          <w:rFonts w:ascii="Calibri" w:hAnsi="Calibri" w:cs="Times New Roman"/>
          <w:b/>
          <w:b/>
          <w:sz w:val="22"/>
          <w:szCs w:val="22"/>
        </w:rPr>
      </w:pPr>
      <w:r>
        <w:rPr>
          <w:rFonts w:cs="Times New Roman"/>
          <w:b/>
          <w:sz w:val="22"/>
          <w:szCs w:val="22"/>
        </w:rPr>
      </w:r>
    </w:p>
    <w:p>
      <w:pPr>
        <w:pStyle w:val="Corpodotexto"/>
        <w:widowControl w:val="false"/>
        <w:tabs>
          <w:tab w:val="clear" w:pos="708"/>
          <w:tab w:val="left" w:pos="482" w:leader="none"/>
          <w:tab w:val="left" w:pos="7810" w:leader="none"/>
        </w:tabs>
        <w:bidi w:val="0"/>
        <w:spacing w:lineRule="auto" w:line="276" w:before="119" w:after="119"/>
        <w:ind w:left="4535" w:right="0" w:hanging="0"/>
        <w:jc w:val="both"/>
        <w:rPr>
          <w:rFonts w:ascii="Calibri" w:hAnsi="Calibri"/>
          <w:sz w:val="22"/>
          <w:szCs w:val="22"/>
        </w:rPr>
      </w:pPr>
      <w:r>
        <w:rPr>
          <w:sz w:val="22"/>
          <w:szCs w:val="22"/>
          <w:lang w:val="pt-BR"/>
        </w:rPr>
        <w:t>Fortaleza, CE, ____ de ______________ de 202</w:t>
      </w:r>
      <w:r>
        <w:rPr>
          <w:sz w:val="22"/>
          <w:szCs w:val="22"/>
          <w:lang w:val="pt-BR"/>
        </w:rPr>
        <w:t>4</w:t>
      </w:r>
      <w:r>
        <w:rPr>
          <w:sz w:val="22"/>
          <w:szCs w:val="22"/>
          <w:lang w:val="pt-BR"/>
        </w:rPr>
        <w:t>.</w:t>
      </w:r>
    </w:p>
    <w:p>
      <w:pPr>
        <w:pStyle w:val="Normal"/>
        <w:tabs>
          <w:tab w:val="clear" w:pos="708"/>
          <w:tab w:val="left" w:pos="-4395" w:leader="none"/>
        </w:tabs>
        <w:spacing w:lineRule="auto" w:line="276" w:before="119" w:after="119"/>
        <w:ind w:left="0" w:right="101" w:hanging="0"/>
        <w:jc w:val="both"/>
        <w:rPr>
          <w:rFonts w:ascii="Calibri" w:hAnsi="Calibri" w:cs="Times New Roman"/>
          <w:b/>
          <w:b/>
          <w:sz w:val="22"/>
          <w:szCs w:val="22"/>
        </w:rPr>
      </w:pPr>
      <w:r>
        <w:rPr>
          <w:rFonts w:cs="Times New Roman"/>
          <w:b/>
          <w:sz w:val="22"/>
          <w:szCs w:val="22"/>
        </w:rPr>
      </w:r>
    </w:p>
    <w:p>
      <w:pPr>
        <w:pStyle w:val="Rodap"/>
        <w:tabs>
          <w:tab w:val="center" w:pos="-4536" w:leader="none"/>
          <w:tab w:val="center" w:pos="4252" w:leader="none"/>
          <w:tab w:val="right" w:pos="8504" w:leader="none"/>
        </w:tabs>
        <w:spacing w:lineRule="auto" w:line="240" w:before="0" w:after="0"/>
        <w:jc w:val="center"/>
        <w:rPr>
          <w:rFonts w:ascii="Calibri" w:hAnsi="Calibri"/>
          <w:sz w:val="22"/>
          <w:szCs w:val="22"/>
        </w:rPr>
      </w:pPr>
      <w:r>
        <w:rPr>
          <w:rFonts w:cs="Times New Roman"/>
          <w:bCs/>
          <w:color w:val="auto"/>
          <w:sz w:val="22"/>
          <w:szCs w:val="22"/>
        </w:rPr>
        <w:t>DANIEL ROCHA</w:t>
      </w:r>
    </w:p>
    <w:p>
      <w:pPr>
        <w:pStyle w:val="Rodap"/>
        <w:tabs>
          <w:tab w:val="center" w:pos="-4536" w:leader="none"/>
          <w:tab w:val="center" w:pos="4252" w:leader="none"/>
          <w:tab w:val="right" w:pos="8504" w:leader="none"/>
        </w:tabs>
        <w:spacing w:lineRule="auto" w:line="240" w:before="0" w:after="0"/>
        <w:jc w:val="center"/>
        <w:rPr>
          <w:rFonts w:ascii="Calibri" w:hAnsi="Calibri"/>
          <w:sz w:val="22"/>
          <w:szCs w:val="22"/>
        </w:rPr>
      </w:pPr>
      <w:r>
        <w:rPr>
          <w:rFonts w:cs="Times New Roman"/>
          <w:color w:val="auto"/>
          <w:sz w:val="22"/>
          <w:szCs w:val="22"/>
        </w:rPr>
        <w:t>Capitão de Fragata</w:t>
      </w:r>
    </w:p>
    <w:p>
      <w:pPr>
        <w:pStyle w:val="Normal"/>
        <w:tabs>
          <w:tab w:val="clear" w:pos="708"/>
          <w:tab w:val="left" w:pos="482" w:leader="none"/>
        </w:tabs>
        <w:spacing w:lineRule="auto" w:line="240" w:before="0" w:after="0"/>
        <w:ind w:left="0" w:right="101" w:hanging="481"/>
        <w:jc w:val="center"/>
        <w:rPr>
          <w:rFonts w:ascii="Calibri" w:hAnsi="Calibri"/>
          <w:sz w:val="22"/>
          <w:szCs w:val="22"/>
        </w:rPr>
      </w:pPr>
      <w:r>
        <w:rPr>
          <w:rFonts w:cs="Arial"/>
          <w:color w:val="auto"/>
          <w:sz w:val="22"/>
          <w:szCs w:val="22"/>
        </w:rPr>
        <w:t xml:space="preserve">           </w:t>
      </w:r>
      <w:r>
        <w:rPr>
          <w:rFonts w:cs="Arial"/>
          <w:color w:val="auto"/>
          <w:sz w:val="22"/>
          <w:szCs w:val="22"/>
        </w:rPr>
        <w:t>Ordenador de Despesas</w:t>
      </w:r>
    </w:p>
    <w:sectPr>
      <w:footerReference w:type="default" r:id="rId5"/>
      <w:type w:val="nextPage"/>
      <w:pgSz w:w="11906" w:h="16838"/>
      <w:pgMar w:left="1701" w:right="1134" w:gutter="0" w:header="0" w:top="1701" w:footer="708"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0"/>
        <w:b/>
        <w:color w:val="auto"/>
      </w:rPr>
    </w:lvl>
    <w:lvl w:ilvl="1">
      <w:start w:val="4"/>
      <w:numFmt w:val="decimal"/>
      <w:lvlText w:val="%1.%2."/>
      <w:lvlJc w:val="left"/>
      <w:pPr>
        <w:tabs>
          <w:tab w:val="num" w:pos="0"/>
        </w:tabs>
        <w:ind w:left="432" w:hanging="432"/>
      </w:pPr>
      <w:rPr>
        <w:dstrike w:val="false"/>
        <w:strike w:val="false"/>
        <w:sz w:val="20"/>
        <w:i w:val="false"/>
        <w:u w:val="none"/>
        <w:b/>
        <w:effect w:val="none"/>
        <w:color w:val="auto"/>
      </w:rPr>
    </w:lvl>
    <w:lvl w:ilvl="2">
      <w:start w:val="1"/>
      <w:numFmt w:val="decimal"/>
      <w:lvlText w:val="%1.%2.%3."/>
      <w:lvlJc w:val="left"/>
      <w:pPr>
        <w:tabs>
          <w:tab w:val="num" w:pos="0"/>
        </w:tabs>
        <w:ind w:left="930" w:hanging="504"/>
      </w:pPr>
      <w:rPr>
        <w:sz w:val="20"/>
        <w:i w:val="false"/>
        <w:b/>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e71e3"/>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Ttulo1">
    <w:name w:val="Heading 1"/>
    <w:basedOn w:val="Normal"/>
    <w:next w:val="Normal"/>
    <w:link w:val="Ttulo1Char"/>
    <w:uiPriority w:val="9"/>
    <w:qFormat/>
    <w:rsid w:val="00fe71e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6">
    <w:name w:val="Heading 6"/>
    <w:basedOn w:val="Normal"/>
    <w:next w:val="Normal"/>
    <w:link w:val="Ttulo6Char"/>
    <w:uiPriority w:val="9"/>
    <w:semiHidden/>
    <w:unhideWhenUsed/>
    <w:qFormat/>
    <w:rsid w:val="008e1fe3"/>
    <w:pPr>
      <w:keepNext w:val="true"/>
      <w:keepLines/>
      <w:spacing w:before="40" w:after="0"/>
      <w:outlineLvl w:val="5"/>
    </w:pPr>
    <w:rPr>
      <w:rFonts w:ascii="Calibri Light" w:hAnsi="Calibri Light" w:eastAsia="" w:cs="" w:asciiTheme="majorHAnsi" w:cstheme="majorBidi" w:eastAsiaTheme="majorEastAsia" w:hAnsiTheme="majorHAnsi"/>
      <w:color w:val="1F3763" w:themeColor="accent1" w:themeShade="7f"/>
    </w:rPr>
  </w:style>
  <w:style w:type="character" w:styleId="DefaultParagraphFont" w:default="1">
    <w:name w:val="Default Paragraph Font"/>
    <w:uiPriority w:val="1"/>
    <w:semiHidden/>
    <w:unhideWhenUsed/>
    <w:qFormat/>
    <w:rPr/>
  </w:style>
  <w:style w:type="character" w:styleId="LinkdaInternet">
    <w:name w:val="Link da Internet"/>
    <w:unhideWhenUsed/>
    <w:rsid w:val="00fe71e3"/>
    <w:rPr>
      <w:color w:val="000080"/>
      <w:u w:val="single"/>
    </w:rPr>
  </w:style>
  <w:style w:type="character" w:styleId="CitaoChar" w:customStyle="1">
    <w:name w:val="Citação Char"/>
    <w:basedOn w:val="DefaultParagraphFont"/>
    <w:link w:val="Citao"/>
    <w:qFormat/>
    <w:rsid w:val="00fe71e3"/>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fe71e3"/>
    <w:rPr>
      <w:rFonts w:ascii="Arial" w:hAnsi="Arial" w:eastAsia="" w:cs="Arial" w:eastAsiaTheme="majorEastAsia"/>
      <w:b/>
      <w:color w:val="000000"/>
      <w:sz w:val="32"/>
      <w:szCs w:val="32"/>
    </w:rPr>
  </w:style>
  <w:style w:type="character" w:styleId="Ttulo1Char" w:customStyle="1">
    <w:name w:val="Título 1 Char"/>
    <w:basedOn w:val="DefaultParagraphFont"/>
    <w:link w:val="Ttulo1"/>
    <w:uiPriority w:val="9"/>
    <w:qFormat/>
    <w:rsid w:val="00fe71e3"/>
    <w:rPr>
      <w:rFonts w:ascii="Calibri Light" w:hAnsi="Calibri Light" w:eastAsia="" w:cs="" w:asciiTheme="majorHAnsi" w:cstheme="majorBidi" w:eastAsiaTheme="majorEastAsia" w:hAnsiTheme="majorHAnsi"/>
      <w:color w:val="2F5496" w:themeColor="accent1" w:themeShade="bf"/>
      <w:sz w:val="32"/>
      <w:szCs w:val="32"/>
    </w:rPr>
  </w:style>
  <w:style w:type="character" w:styleId="Normalchar1" w:customStyle="1">
    <w:name w:val="normal__char1"/>
    <w:qFormat/>
    <w:rsid w:val="00a45c14"/>
    <w:rPr>
      <w:rFonts w:ascii="Arial" w:hAnsi="Arial" w:cs="Arial"/>
      <w:strike w:val="false"/>
      <w:dstrike w:val="false"/>
      <w:sz w:val="24"/>
      <w:szCs w:val="24"/>
      <w:u w:val="none"/>
      <w:effect w:val="none"/>
    </w:rPr>
  </w:style>
  <w:style w:type="character" w:styleId="Strong">
    <w:name w:val="Strong"/>
    <w:basedOn w:val="DefaultParagraphFont"/>
    <w:uiPriority w:val="22"/>
    <w:qFormat/>
    <w:rsid w:val="0042560b"/>
    <w:rPr>
      <w:b/>
      <w:bCs/>
    </w:rPr>
  </w:style>
  <w:style w:type="character" w:styleId="MenoPendente1" w:customStyle="1">
    <w:name w:val="Menção Pendente1"/>
    <w:basedOn w:val="DefaultParagraphFont"/>
    <w:uiPriority w:val="99"/>
    <w:semiHidden/>
    <w:unhideWhenUsed/>
    <w:qFormat/>
    <w:rsid w:val="00c81183"/>
    <w:rPr>
      <w:color w:val="605E5C"/>
      <w:shd w:fill="E1DFDD" w:val="clear"/>
    </w:rPr>
  </w:style>
  <w:style w:type="character" w:styleId="Annotationreference">
    <w:name w:val="annotation reference"/>
    <w:basedOn w:val="DefaultParagraphFont"/>
    <w:uiPriority w:val="99"/>
    <w:unhideWhenUsed/>
    <w:qFormat/>
    <w:rsid w:val="00843661"/>
    <w:rPr>
      <w:sz w:val="16"/>
      <w:szCs w:val="16"/>
    </w:rPr>
  </w:style>
  <w:style w:type="character" w:styleId="TextodecomentrioChar" w:customStyle="1">
    <w:name w:val="Texto de comentário Char"/>
    <w:basedOn w:val="DefaultParagraphFont"/>
    <w:link w:val="Textodecomentrio"/>
    <w:uiPriority w:val="99"/>
    <w:qFormat/>
    <w:rsid w:val="00843661"/>
    <w:rPr>
      <w:sz w:val="20"/>
      <w:szCs w:val="20"/>
    </w:rPr>
  </w:style>
  <w:style w:type="character" w:styleId="AssuntodocomentrioChar" w:customStyle="1">
    <w:name w:val="Assunto do comentário Char"/>
    <w:basedOn w:val="TextodecomentrioChar"/>
    <w:link w:val="Assuntodocomentrio"/>
    <w:uiPriority w:val="99"/>
    <w:semiHidden/>
    <w:qFormat/>
    <w:rsid w:val="00843661"/>
    <w:rPr>
      <w:b/>
      <w:bCs/>
      <w:sz w:val="20"/>
      <w:szCs w:val="20"/>
    </w:rPr>
  </w:style>
  <w:style w:type="character" w:styleId="Ttulo6Char" w:customStyle="1">
    <w:name w:val="Título 6 Char"/>
    <w:basedOn w:val="DefaultParagraphFont"/>
    <w:link w:val="Ttulo6"/>
    <w:uiPriority w:val="9"/>
    <w:semiHidden/>
    <w:qFormat/>
    <w:rsid w:val="008e1fe3"/>
    <w:rPr>
      <w:rFonts w:ascii="Calibri Light" w:hAnsi="Calibri Light" w:eastAsia="" w:cs="" w:asciiTheme="majorHAnsi" w:cstheme="majorBidi" w:eastAsiaTheme="majorEastAsia" w:hAnsiTheme="majorHAnsi"/>
      <w:color w:val="1F3763" w:themeColor="accent1" w:themeShade="7f"/>
    </w:rPr>
  </w:style>
  <w:style w:type="character" w:styleId="Linkdainternetvisitado">
    <w:name w:val="Link da internet visitado"/>
    <w:basedOn w:val="DefaultParagraphFont"/>
    <w:uiPriority w:val="99"/>
    <w:semiHidden/>
    <w:unhideWhenUsed/>
    <w:rsid w:val="00206410"/>
    <w:rPr>
      <w:color w:val="954F72" w:themeColor="followedHyperlink"/>
      <w:u w:val="single"/>
    </w:rPr>
  </w:style>
  <w:style w:type="character" w:styleId="QuoteChar" w:customStyle="1">
    <w:name w:val="Quote Char"/>
    <w:link w:val="Citao1"/>
    <w:qFormat/>
    <w:locked/>
    <w:rsid w:val="003948b2"/>
    <w:rPr>
      <w:rFonts w:ascii="Ecofont_Spranq_eco_Sans" w:hAnsi="Ecofont_Spranq_eco_Sans" w:cs="Ecofont_Spranq_eco_Sans"/>
      <w:i/>
      <w:iCs/>
      <w:color w:val="000000"/>
      <w:sz w:val="24"/>
      <w:szCs w:val="24"/>
      <w:shd w:fill="FFFFCC" w:val="clear"/>
    </w:rPr>
  </w:style>
  <w:style w:type="character" w:styleId="Markedcontent" w:customStyle="1">
    <w:name w:val="markedcontent"/>
    <w:basedOn w:val="DefaultParagraphFont"/>
    <w:qFormat/>
    <w:rsid w:val="00bd4caf"/>
    <w:rPr/>
  </w:style>
  <w:style w:type="character" w:styleId="Highlight" w:customStyle="1">
    <w:name w:val="highlight"/>
    <w:basedOn w:val="DefaultParagraphFont"/>
    <w:qFormat/>
    <w:rsid w:val="00bd4caf"/>
    <w:rPr/>
  </w:style>
  <w:style w:type="character" w:styleId="TextodebaloChar" w:customStyle="1">
    <w:name w:val="Texto de balão Char"/>
    <w:basedOn w:val="DefaultParagraphFont"/>
    <w:link w:val="Textodebalo"/>
    <w:uiPriority w:val="99"/>
    <w:semiHidden/>
    <w:qFormat/>
    <w:rsid w:val="00e81162"/>
    <w:rPr>
      <w:rFonts w:ascii="Segoe UI" w:hAnsi="Segoe UI" w:cs="Segoe UI"/>
      <w:sz w:val="18"/>
      <w:szCs w:val="18"/>
    </w:rPr>
  </w:style>
  <w:style w:type="character" w:styleId="MenoPendente2" w:customStyle="1">
    <w:name w:val="Menção Pendente2"/>
    <w:basedOn w:val="DefaultParagraphFont"/>
    <w:uiPriority w:val="99"/>
    <w:semiHidden/>
    <w:unhideWhenUsed/>
    <w:qFormat/>
    <w:rsid w:val="00307e84"/>
    <w:rPr>
      <w:color w:val="605E5C"/>
      <w:shd w:fill="E1DFDD" w:val="clear"/>
    </w:rPr>
  </w:style>
  <w:style w:type="character" w:styleId="Nivel2Char" w:customStyle="1">
    <w:name w:val="Nivel 2 Char"/>
    <w:basedOn w:val="DefaultParagraphFont"/>
    <w:link w:val="Nivel2"/>
    <w:qFormat/>
    <w:locked/>
    <w:rsid w:val="00ff4094"/>
    <w:rPr>
      <w:rFonts w:ascii="Arial" w:hAnsi="Arial" w:cs="Arial"/>
      <w:color w:val="000000"/>
    </w:rPr>
  </w:style>
  <w:style w:type="character" w:styleId="Citao2Char" w:customStyle="1">
    <w:name w:val="citação 2 Char"/>
    <w:basedOn w:val="CitaoChar"/>
    <w:link w:val="citao2"/>
    <w:qFormat/>
    <w:rsid w:val="003e7046"/>
    <w:rPr>
      <w:rFonts w:ascii="Arial" w:hAnsi="Arial" w:eastAsia="Calibri" w:cs="Tahoma"/>
      <w:i/>
      <w:iCs/>
      <w:color w:val="000000"/>
      <w:kern w:val="2"/>
      <w:sz w:val="20"/>
      <w:szCs w:val="20"/>
      <w:shd w:fill="FFFFCC" w:val="clear"/>
      <w:lang w:eastAsia="zh-CN" w:bidi="hi-IN"/>
    </w:rPr>
  </w:style>
  <w:style w:type="character" w:styleId="CabealhoChar" w:customStyle="1">
    <w:name w:val="Cabeçalho Char"/>
    <w:basedOn w:val="DefaultParagraphFont"/>
    <w:link w:val="Cabealho"/>
    <w:uiPriority w:val="99"/>
    <w:qFormat/>
    <w:rsid w:val="0073140b"/>
    <w:rPr/>
  </w:style>
  <w:style w:type="character" w:styleId="RodapChar" w:customStyle="1">
    <w:name w:val="Rodapé Char"/>
    <w:basedOn w:val="DefaultParagraphFont"/>
    <w:link w:val="Rodap"/>
    <w:uiPriority w:val="99"/>
    <w:qFormat/>
    <w:rsid w:val="0073140b"/>
    <w:rPr/>
  </w:style>
  <w:style w:type="character" w:styleId="MenoPendente3" w:customStyle="1">
    <w:name w:val="Menção Pendente3"/>
    <w:basedOn w:val="DefaultParagraphFont"/>
    <w:uiPriority w:val="99"/>
    <w:semiHidden/>
    <w:unhideWhenUsed/>
    <w:qFormat/>
    <w:rsid w:val="00f57d61"/>
    <w:rPr>
      <w:color w:val="605E5C"/>
      <w:shd w:fill="E1DFDD" w:val="clear"/>
    </w:rPr>
  </w:style>
  <w:style w:type="character" w:styleId="Smbolosdenumerao">
    <w:name w:val="Símbolos de numeração"/>
    <w:qFormat/>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Quote">
    <w:name w:val="Quote"/>
    <w:basedOn w:val="Normal"/>
    <w:next w:val="Normal"/>
    <w:link w:val="CitaoChar"/>
    <w:qFormat/>
    <w:rsid w:val="00fe71e3"/>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ahoma"/>
      <w:i/>
      <w:iCs/>
      <w:color w:val="000000"/>
      <w:sz w:val="20"/>
      <w:szCs w:val="24"/>
    </w:rPr>
  </w:style>
  <w:style w:type="paragraph" w:styleId="Nivel1" w:customStyle="1">
    <w:name w:val="Nivel1"/>
    <w:basedOn w:val="Ttulo1"/>
    <w:next w:val="Normal"/>
    <w:link w:val="Nivel1Char"/>
    <w:qFormat/>
    <w:rsid w:val="00fe71e3"/>
    <w:pPr>
      <w:spacing w:lineRule="auto" w:line="276" w:before="480" w:after="120"/>
      <w:jc w:val="both"/>
      <w:outlineLvl w:val="9"/>
    </w:pPr>
    <w:rPr>
      <w:rFonts w:ascii="Arial" w:hAnsi="Arial" w:cs="Arial"/>
      <w:b/>
      <w:color w:val="000000"/>
    </w:rPr>
  </w:style>
  <w:style w:type="paragraph" w:styleId="ListParagraph">
    <w:name w:val="List Paragraph"/>
    <w:basedOn w:val="Normal"/>
    <w:uiPriority w:val="34"/>
    <w:qFormat/>
    <w:rsid w:val="00fe71e3"/>
    <w:pPr>
      <w:spacing w:before="0" w:after="160"/>
      <w:ind w:left="720" w:hanging="0"/>
      <w:contextualSpacing/>
    </w:pPr>
    <w:rPr/>
  </w:style>
  <w:style w:type="paragraph" w:styleId="NormalWeb">
    <w:name w:val="Normal (Web)"/>
    <w:basedOn w:val="Normal"/>
    <w:uiPriority w:val="99"/>
    <w:unhideWhenUsed/>
    <w:qFormat/>
    <w:rsid w:val="00fe71e3"/>
    <w:pPr>
      <w:spacing w:lineRule="auto" w:line="240" w:beforeAutospacing="1" w:afterAutospacing="1"/>
    </w:pPr>
    <w:rPr>
      <w:rFonts w:ascii="Times New Roman" w:hAnsi="Times New Roman" w:eastAsia="Times New Roman" w:cs="Times New Roman"/>
      <w:sz w:val="24"/>
      <w:szCs w:val="24"/>
      <w:lang w:eastAsia="pt-BR"/>
    </w:rPr>
  </w:style>
  <w:style w:type="paragraph" w:styleId="SombreamentoMdio1nfase31" w:customStyle="1">
    <w:name w:val="Sombreamento Médio 1 - Ênfase 31"/>
    <w:basedOn w:val="Normal"/>
    <w:next w:val="Normal"/>
    <w:qFormat/>
    <w:rsid w:val="00a45c14"/>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eastAsia="Calibri" w:cs="Tahoma"/>
      <w:i/>
      <w:iCs/>
      <w:color w:val="000000"/>
      <w:sz w:val="20"/>
      <w:szCs w:val="24"/>
      <w:lang w:eastAsia="zh-CN"/>
    </w:rPr>
  </w:style>
  <w:style w:type="paragraph" w:styleId="Corpo" w:customStyle="1">
    <w:name w:val="corpo"/>
    <w:basedOn w:val="Normal"/>
    <w:qFormat/>
    <w:rsid w:val="00bb36bb"/>
    <w:pPr>
      <w:spacing w:lineRule="auto" w:line="240" w:beforeAutospacing="1" w:afterAutospacing="1"/>
    </w:pPr>
    <w:rPr>
      <w:rFonts w:ascii="Times New Roman" w:hAnsi="Times New Roman" w:eastAsia="Times New Roman" w:cs="Times New Roman"/>
      <w:sz w:val="24"/>
      <w:szCs w:val="24"/>
      <w:lang w:eastAsia="pt-BR"/>
    </w:rPr>
  </w:style>
  <w:style w:type="paragraph" w:styleId="Annotationtext">
    <w:name w:val="annotation text"/>
    <w:basedOn w:val="Normal"/>
    <w:link w:val="TextodecomentrioChar"/>
    <w:uiPriority w:val="99"/>
    <w:unhideWhenUsed/>
    <w:qFormat/>
    <w:rsid w:val="00843661"/>
    <w:pPr>
      <w:spacing w:lineRule="auto" w:line="240"/>
    </w:pPr>
    <w:rPr>
      <w:sz w:val="20"/>
      <w:szCs w:val="20"/>
    </w:rPr>
  </w:style>
  <w:style w:type="paragraph" w:styleId="Annotationsubject">
    <w:name w:val="annotation subject"/>
    <w:basedOn w:val="Annotationtext"/>
    <w:link w:val="AssuntodocomentrioChar"/>
    <w:uiPriority w:val="99"/>
    <w:semiHidden/>
    <w:unhideWhenUsed/>
    <w:qFormat/>
    <w:rsid w:val="00843661"/>
    <w:pPr/>
    <w:rPr>
      <w:b/>
      <w:bCs/>
    </w:rPr>
  </w:style>
  <w:style w:type="paragraph" w:styleId="Itemnivel2" w:customStyle="1">
    <w:name w:val="item_nivel2"/>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nivel1" w:customStyle="1">
    <w:name w:val="item_nivel1"/>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alinealetra" w:customStyle="1">
    <w:name w:val="item_alinea_letra"/>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Citao1" w:customStyle="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Ecofont_Spranq_eco_Sans" w:hAnsi="Ecofont_Spranq_eco_Sans" w:cs="Ecofont_Spranq_eco_Sans"/>
      <w:i/>
      <w:iCs/>
      <w:color w:val="000000"/>
      <w:sz w:val="24"/>
      <w:szCs w:val="24"/>
    </w:rPr>
  </w:style>
  <w:style w:type="paragraph" w:styleId="BalloonText">
    <w:name w:val="Balloon Text"/>
    <w:basedOn w:val="Normal"/>
    <w:link w:val="TextodebaloChar"/>
    <w:uiPriority w:val="99"/>
    <w:semiHidden/>
    <w:unhideWhenUsed/>
    <w:qFormat/>
    <w:rsid w:val="00e81162"/>
    <w:pPr>
      <w:spacing w:lineRule="auto" w:line="240" w:before="0" w:after="0"/>
    </w:pPr>
    <w:rPr>
      <w:rFonts w:ascii="Segoe UI" w:hAnsi="Segoe UI" w:cs="Segoe UI"/>
      <w:sz w:val="18"/>
      <w:szCs w:val="18"/>
    </w:rPr>
  </w:style>
  <w:style w:type="paragraph" w:styleId="Standard" w:customStyle="1">
    <w:name w:val="Standard"/>
    <w:qFormat/>
    <w:rsid w:val="00ff4094"/>
    <w:pPr>
      <w:widowControl/>
      <w:suppressAutoHyphens w:val="true"/>
      <w:bidi w:val="0"/>
      <w:spacing w:lineRule="auto" w:line="240" w:before="0" w:after="0"/>
      <w:jc w:val="left"/>
    </w:pPr>
    <w:rPr>
      <w:rFonts w:ascii="Liberation Serif" w:hAnsi="Liberation Serif" w:eastAsia="NSimSun" w:cs="Lucida Sans"/>
      <w:color w:val="auto"/>
      <w:kern w:val="2"/>
      <w:sz w:val="24"/>
      <w:szCs w:val="24"/>
      <w:lang w:val="pt-BR" w:eastAsia="zh-CN" w:bidi="hi-IN"/>
    </w:rPr>
  </w:style>
  <w:style w:type="paragraph" w:styleId="Textbody" w:customStyle="1">
    <w:name w:val="Text body"/>
    <w:basedOn w:val="Standard"/>
    <w:qFormat/>
    <w:rsid w:val="00ff4094"/>
    <w:pPr>
      <w:spacing w:lineRule="auto" w:line="276" w:before="0" w:after="140"/>
    </w:pPr>
    <w:rPr/>
  </w:style>
  <w:style w:type="paragraph" w:styleId="Citao2" w:customStyle="1">
    <w:name w:val="citação 2"/>
    <w:basedOn w:val="Quote"/>
    <w:link w:val="citao2Char"/>
    <w:qFormat/>
    <w:rsid w:val="00ff4094"/>
    <w:pPr>
      <w:shd w:val="clear" w:fill="FFFFCC"/>
      <w:suppressAutoHyphens w:val="true"/>
    </w:pPr>
    <w:rPr>
      <w:kern w:val="2"/>
      <w:szCs w:val="20"/>
      <w:lang w:eastAsia="zh-CN" w:bidi="hi-IN"/>
    </w:rPr>
  </w:style>
  <w:style w:type="paragraph" w:styleId="Nivel2" w:customStyle="1">
    <w:name w:val="Nivel 2"/>
    <w:basedOn w:val="Normal"/>
    <w:link w:val="Nivel2Char"/>
    <w:qFormat/>
    <w:rsid w:val="00ff4094"/>
    <w:pPr>
      <w:spacing w:lineRule="auto" w:line="276" w:before="120" w:after="120"/>
      <w:jc w:val="both"/>
    </w:pPr>
    <w:rPr>
      <w:rFonts w:ascii="Arial" w:hAnsi="Arial" w:cs="Arial"/>
      <w:color w:val="000000"/>
    </w:rPr>
  </w:style>
  <w:style w:type="paragraph" w:styleId="Nivel3" w:customStyle="1">
    <w:name w:val="Nivel 3"/>
    <w:basedOn w:val="ListParagraph"/>
    <w:qFormat/>
    <w:rsid w:val="00ff4094"/>
    <w:pPr>
      <w:tabs>
        <w:tab w:val="clear" w:pos="708"/>
        <w:tab w:val="left" w:pos="360" w:leader="none"/>
      </w:tabs>
      <w:spacing w:lineRule="auto" w:line="276" w:before="120" w:after="120"/>
      <w:ind w:left="425" w:hanging="0"/>
      <w:contextualSpacing/>
      <w:jc w:val="both"/>
    </w:pPr>
    <w:rPr>
      <w:rFonts w:ascii="Arial" w:hAnsi="Arial" w:eastAsia="Times New Roman" w:cs="Arial"/>
      <w:sz w:val="20"/>
      <w:szCs w:val="20"/>
      <w:lang w:eastAsia="pt-BR"/>
    </w:rPr>
  </w:style>
  <w:style w:type="paragraph" w:styleId="Nivel4" w:customStyle="1">
    <w:name w:val="Nivel 4"/>
    <w:basedOn w:val="Nivel3"/>
    <w:qFormat/>
    <w:rsid w:val="00ff4094"/>
    <w:pPr>
      <w:ind w:left="2491" w:hanging="648"/>
    </w:pPr>
    <w:rPr/>
  </w:style>
  <w:style w:type="paragraph" w:styleId="Nivel5" w:customStyle="1">
    <w:name w:val="Nivel 5"/>
    <w:basedOn w:val="Nivel4"/>
    <w:qFormat/>
    <w:rsid w:val="00ff4094"/>
    <w:pPr>
      <w:ind w:left="3485" w:hanging="792"/>
    </w:pPr>
    <w:rPr/>
  </w:style>
  <w:style w:type="paragraph" w:styleId="PADRO" w:customStyle="1">
    <w:name w:val="PADRÃO"/>
    <w:qFormat/>
    <w:rsid w:val="00ed4d94"/>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auto"/>
      <w:kern w:val="0"/>
      <w:sz w:val="20"/>
      <w:szCs w:val="24"/>
      <w:lang w:val="pt-BR" w:eastAsia="zh-CN" w:bidi="hi-IN"/>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73140b"/>
    <w:pPr>
      <w:tabs>
        <w:tab w:val="clear" w:pos="708"/>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73140b"/>
    <w:pPr>
      <w:tabs>
        <w:tab w:val="clear" w:pos="708"/>
        <w:tab w:val="center" w:pos="4252" w:leader="none"/>
        <w:tab w:val="right" w:pos="8504" w:leader="none"/>
      </w:tabs>
      <w:spacing w:lineRule="auto" w:line="240" w:before="0" w:after="0"/>
    </w:pPr>
    <w:rPr/>
  </w:style>
  <w:style w:type="numbering" w:styleId="NoList" w:default="1">
    <w:name w:val="No List"/>
    <w:uiPriority w:val="99"/>
    <w:semiHidden/>
    <w:unhideWhenUsed/>
    <w:qFormat/>
  </w:style>
  <w:style w:type="numbering" w:styleId="WW8Num1">
    <w:name w:val="WW8Num1"/>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b5309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ortaldatransparencia.gov.br/ceis" TargetMode="External"/><Relationship Id="rId4" Type="http://schemas.openxmlformats.org/officeDocument/2006/relationships/hyperlink" Target="https://www.portaltransparencia.gov.br/sancoes/cne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3.xml><?xml version="1.0" encoding="utf-8"?>
<ds:datastoreItem xmlns:ds="http://schemas.openxmlformats.org/officeDocument/2006/customXml" ds:itemID="{A637446F-06E5-46E0-84F0-A1DE8612EA00}">
  <ds:schemaRefs>
    <ds:schemaRef ds:uri="http://schemas.openxmlformats.org/officeDocument/2006/bibliography"/>
  </ds:schemaRefs>
</ds:datastoreItem>
</file>

<file path=customXml/itemProps4.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TotalTime>
  <Application>LibreOffice/7.2.7.2$Windows_X86_64 LibreOffice_project/8d71d29d553c0f7dcbfa38fbfda25ee34cce99a2</Application>
  <AppVersion>15.0000</AppVersion>
  <Pages>7</Pages>
  <Words>2573</Words>
  <Characters>14681</Characters>
  <CharactersWithSpaces>17207</CharactersWithSpaces>
  <Paragraphs>105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2022-07-02T17:53:00Z</dcterms:created>
  <dc:creator>Marcela Ali Tarif</dc:creator>
  <dc:description/>
  <dc:language>pt-BR</dc:language>
  <cp:lastModifiedBy/>
  <cp:lastPrinted>2023-02-09T10:46:44Z</cp:lastPrinted>
  <dcterms:modified xsi:type="dcterms:W3CDTF">2024-05-27T14:25:04Z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